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4C8C" w14:textId="77777777" w:rsidR="00F90AF7" w:rsidRDefault="00F90AF7" w:rsidP="002967F5">
      <w:pPr>
        <w:tabs>
          <w:tab w:val="right" w:pos="91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CANADA</w:t>
      </w:r>
    </w:p>
    <w:p w14:paraId="6C0A4C8D" w14:textId="77777777" w:rsidR="00F90AF7" w:rsidRDefault="00F90AF7">
      <w:pPr>
        <w:tabs>
          <w:tab w:val="right" w:pos="91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PROVINCE DE QUÉBEC</w:t>
      </w:r>
      <w:r>
        <w:rPr>
          <w:rFonts w:ascii="Arial" w:hAnsi="Arial" w:cs="Arial"/>
          <w:sz w:val="22"/>
        </w:rPr>
        <w:tab/>
      </w:r>
      <w:r w:rsidRPr="0027722F">
        <w:rPr>
          <w:rFonts w:ascii="Arial" w:hAnsi="Arial" w:cs="Arial"/>
          <w:b/>
          <w:bCs/>
          <w:sz w:val="22"/>
        </w:rPr>
        <w:t xml:space="preserve">COUR </w:t>
      </w:r>
      <w:r w:rsidR="00960469" w:rsidRPr="0027722F">
        <w:rPr>
          <w:rFonts w:ascii="Arial" w:hAnsi="Arial" w:cs="Arial"/>
          <w:b/>
          <w:bCs/>
          <w:sz w:val="22"/>
        </w:rPr>
        <w:t>SUPÉRIEURE</w:t>
      </w:r>
    </w:p>
    <w:p w14:paraId="6C0A4C8E" w14:textId="77777777" w:rsidR="00782D16" w:rsidRPr="002B5869" w:rsidRDefault="00F90AF7">
      <w:pPr>
        <w:tabs>
          <w:tab w:val="right" w:pos="91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District</w:t>
      </w:r>
      <w:bookmarkStart w:id="0" w:name="Texte15"/>
      <w:r w:rsidR="008D011F">
        <w:rPr>
          <w:rFonts w:ascii="Arial" w:hAnsi="Arial" w:cs="Arial"/>
          <w:sz w:val="22"/>
        </w:rPr>
        <w:t xml:space="preserve"> </w:t>
      </w:r>
      <w:r w:rsidR="008D011F" w:rsidRPr="002B5869">
        <w:rPr>
          <w:rFonts w:ascii="Arial" w:hAnsi="Arial" w:cs="Arial"/>
          <w:sz w:val="22"/>
        </w:rPr>
        <w:t>de </w:t>
      </w:r>
      <w:bookmarkEnd w:id="0"/>
      <w:r w:rsidR="00D97A17">
        <w:rPr>
          <w:rFonts w:ascii="Arial" w:hAnsi="Arial" w:cs="Arial"/>
          <w:color w:val="000000"/>
          <w:sz w:val="22"/>
          <w:szCs w:val="22"/>
        </w:rPr>
        <w:t>Québec</w:t>
      </w:r>
      <w:r w:rsidR="00782D16" w:rsidRPr="002B5869">
        <w:rPr>
          <w:rFonts w:ascii="Arial" w:hAnsi="Arial" w:cs="Arial"/>
          <w:sz w:val="22"/>
        </w:rPr>
        <w:tab/>
      </w:r>
    </w:p>
    <w:p w14:paraId="6C0A4C8F" w14:textId="77777777" w:rsidR="004872AE" w:rsidRPr="002B5869" w:rsidRDefault="00F90AF7" w:rsidP="003D0379">
      <w:pPr>
        <w:rPr>
          <w:rFonts w:ascii="Arial" w:hAnsi="Arial" w:cs="Arial"/>
        </w:rPr>
      </w:pPr>
      <w:r w:rsidRPr="002B5869">
        <w:rPr>
          <w:rFonts w:ascii="Arial" w:hAnsi="Arial" w:cs="Arial"/>
          <w:sz w:val="22"/>
        </w:rPr>
        <w:t>N</w:t>
      </w:r>
      <w:r w:rsidRPr="002B5869">
        <w:rPr>
          <w:rFonts w:ascii="Arial" w:hAnsi="Arial" w:cs="Arial"/>
          <w:sz w:val="22"/>
          <w:vertAlign w:val="superscript"/>
        </w:rPr>
        <w:t>o</w:t>
      </w:r>
      <w:r w:rsidR="00960469" w:rsidRPr="002B5869">
        <w:rPr>
          <w:rFonts w:ascii="Arial" w:hAnsi="Arial" w:cs="Arial"/>
          <w:sz w:val="22"/>
          <w:vertAlign w:val="superscript"/>
        </w:rPr>
        <w:t> </w:t>
      </w:r>
      <w:r w:rsidR="00960469" w:rsidRPr="002B5869">
        <w:rPr>
          <w:rFonts w:ascii="Arial" w:hAnsi="Arial" w:cs="Arial"/>
          <w:sz w:val="22"/>
        </w:rPr>
        <w:t>:</w:t>
      </w:r>
      <w:r w:rsidRPr="002B5869">
        <w:rPr>
          <w:rFonts w:ascii="Arial" w:hAnsi="Arial" w:cs="Arial"/>
          <w:sz w:val="22"/>
          <w:vertAlign w:val="superscript"/>
        </w:rPr>
        <w:t xml:space="preserve"> </w:t>
      </w:r>
      <w:r w:rsidR="00D97A17">
        <w:rPr>
          <w:rFonts w:ascii="Arial" w:hAnsi="Arial" w:cs="Arial"/>
          <w:color w:val="000000"/>
          <w:sz w:val="22"/>
          <w:szCs w:val="22"/>
        </w:rPr>
        <w:t>200-17-876543-201</w:t>
      </w:r>
    </w:p>
    <w:p w14:paraId="6C0A4C90" w14:textId="77777777" w:rsidR="004872AE" w:rsidRPr="002B5869" w:rsidRDefault="004872AE" w:rsidP="003D0379">
      <w:pPr>
        <w:rPr>
          <w:rFonts w:ascii="Arial" w:hAnsi="Arial" w:cs="Arial"/>
        </w:rPr>
      </w:pPr>
    </w:p>
    <w:p w14:paraId="6C0A4C91" w14:textId="77777777" w:rsidR="00F90AF7" w:rsidRPr="002B5869" w:rsidRDefault="00F90AF7" w:rsidP="003D0379">
      <w:pPr>
        <w:rPr>
          <w:rFonts w:ascii="Arial" w:hAnsi="Arial" w:cs="Arial"/>
          <w:sz w:val="22"/>
        </w:rPr>
      </w:pPr>
      <w:r w:rsidRPr="002B5869">
        <w:rPr>
          <w:rFonts w:ascii="Arial" w:hAnsi="Arial" w:cs="Arial"/>
          <w:sz w:val="22"/>
        </w:rPr>
        <w:fldChar w:fldCharType="begin"/>
      </w:r>
      <w:r w:rsidRPr="002B5869">
        <w:rPr>
          <w:rFonts w:ascii="Arial" w:hAnsi="Arial" w:cs="Arial"/>
          <w:sz w:val="22"/>
        </w:rPr>
        <w:instrText xml:space="preserve">  </w:instrText>
      </w:r>
      <w:r w:rsidRPr="002B5869">
        <w:rPr>
          <w:rFonts w:ascii="Arial" w:hAnsi="Arial" w:cs="Arial"/>
          <w:sz w:val="22"/>
        </w:rPr>
        <w:fldChar w:fldCharType="end"/>
      </w:r>
    </w:p>
    <w:p w14:paraId="6C0A4C92" w14:textId="77777777" w:rsidR="00F90AF7" w:rsidRDefault="00F90AF7">
      <w:pPr>
        <w:rPr>
          <w:rFonts w:ascii="Arial" w:hAnsi="Arial" w:cs="Arial"/>
          <w:b/>
          <w:caps/>
          <w:color w:val="000000"/>
          <w:sz w:val="22"/>
          <w:szCs w:val="22"/>
        </w:rPr>
      </w:pP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="00D22ADC">
        <w:rPr>
          <w:rFonts w:ascii="Arial" w:hAnsi="Arial" w:cs="Arial"/>
          <w:sz w:val="22"/>
        </w:rPr>
        <w:tab/>
      </w:r>
      <w:r w:rsidR="003E17F6" w:rsidRPr="003E17F6">
        <w:rPr>
          <w:rFonts w:ascii="Arial" w:hAnsi="Arial" w:cs="Arial"/>
          <w:b/>
          <w:caps/>
          <w:color w:val="000000"/>
          <w:sz w:val="22"/>
          <w:szCs w:val="22"/>
        </w:rPr>
        <w:t>Platine Assurance</w:t>
      </w:r>
    </w:p>
    <w:p w14:paraId="6C0A4C93" w14:textId="77777777" w:rsidR="003E17F6" w:rsidRPr="003E17F6" w:rsidRDefault="003E17F6">
      <w:pPr>
        <w:rPr>
          <w:rFonts w:ascii="Arial" w:hAnsi="Arial" w:cs="Arial"/>
          <w:b/>
          <w:caps/>
          <w:shd w:val="clear" w:color="auto" w:fill="E6E6E6"/>
        </w:rPr>
      </w:pPr>
    </w:p>
    <w:p w14:paraId="6C0A4C94" w14:textId="77777777" w:rsidR="00F90AF7" w:rsidRPr="002B5869" w:rsidRDefault="00F90AF7" w:rsidP="00782D16">
      <w:pPr>
        <w:ind w:left="5664" w:firstLine="708"/>
        <w:jc w:val="both"/>
        <w:rPr>
          <w:rFonts w:ascii="Arial" w:hAnsi="Arial" w:cs="Arial"/>
          <w:sz w:val="22"/>
        </w:rPr>
      </w:pPr>
      <w:r w:rsidRPr="002B5869">
        <w:rPr>
          <w:rFonts w:ascii="Arial" w:hAnsi="Arial" w:cs="Arial"/>
          <w:sz w:val="22"/>
        </w:rPr>
        <w:t xml:space="preserve">Partie </w:t>
      </w:r>
      <w:r w:rsidR="00782D16" w:rsidRPr="002B5869">
        <w:rPr>
          <w:rFonts w:ascii="Arial" w:hAnsi="Arial" w:cs="Arial"/>
          <w:sz w:val="22"/>
        </w:rPr>
        <w:t>demanderesse</w:t>
      </w:r>
    </w:p>
    <w:p w14:paraId="6C0A4C95" w14:textId="77777777" w:rsidR="004872AE" w:rsidRPr="002B5869" w:rsidRDefault="004872AE">
      <w:pPr>
        <w:rPr>
          <w:rFonts w:ascii="Arial" w:hAnsi="Arial" w:cs="Arial"/>
          <w:sz w:val="22"/>
        </w:rPr>
      </w:pPr>
    </w:p>
    <w:p w14:paraId="6C0A4C96" w14:textId="77777777" w:rsidR="00F90AF7" w:rsidRPr="002B5869" w:rsidRDefault="003D0379">
      <w:pPr>
        <w:rPr>
          <w:rFonts w:ascii="Arial" w:hAnsi="Arial" w:cs="Arial"/>
          <w:sz w:val="22"/>
        </w:rPr>
      </w:pP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="00BD6F7E" w:rsidRPr="002B5869">
        <w:rPr>
          <w:rFonts w:ascii="Arial" w:hAnsi="Arial" w:cs="Arial"/>
          <w:sz w:val="22"/>
        </w:rPr>
        <w:tab/>
      </w:r>
      <w:r w:rsidR="00F90AF7" w:rsidRPr="002B5869">
        <w:rPr>
          <w:rFonts w:ascii="Arial" w:hAnsi="Arial" w:cs="Arial"/>
          <w:sz w:val="22"/>
        </w:rPr>
        <w:t>c.</w:t>
      </w:r>
      <w:r w:rsidR="00F90AF7" w:rsidRPr="002B5869">
        <w:rPr>
          <w:rFonts w:ascii="Arial" w:hAnsi="Arial" w:cs="Arial"/>
          <w:sz w:val="22"/>
        </w:rPr>
        <w:tab/>
      </w:r>
    </w:p>
    <w:p w14:paraId="6C0A4C97" w14:textId="77777777" w:rsidR="00BD6F7E" w:rsidRPr="002B5869" w:rsidRDefault="00BD6F7E">
      <w:pPr>
        <w:rPr>
          <w:rFonts w:ascii="Arial" w:hAnsi="Arial" w:cs="Arial"/>
          <w:sz w:val="22"/>
        </w:rPr>
      </w:pPr>
    </w:p>
    <w:p w14:paraId="6C0A4C98" w14:textId="77777777" w:rsidR="00F90AF7" w:rsidRPr="003E17F6" w:rsidRDefault="00F90AF7">
      <w:pPr>
        <w:rPr>
          <w:rFonts w:ascii="Arial" w:hAnsi="Arial" w:cs="Arial"/>
          <w:b/>
          <w:sz w:val="22"/>
        </w:rPr>
      </w:pP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Pr="002B5869">
        <w:rPr>
          <w:rFonts w:ascii="Arial" w:hAnsi="Arial" w:cs="Arial"/>
          <w:sz w:val="22"/>
        </w:rPr>
        <w:tab/>
      </w:r>
      <w:r w:rsidR="003E17F6" w:rsidRPr="003E17F6">
        <w:rPr>
          <w:rFonts w:ascii="Arial" w:hAnsi="Arial" w:cs="Arial"/>
          <w:b/>
          <w:color w:val="000000"/>
          <w:sz w:val="22"/>
          <w:szCs w:val="22"/>
        </w:rPr>
        <w:t>LES PRODUITS MICROSONIC</w:t>
      </w:r>
    </w:p>
    <w:p w14:paraId="6C0A4C99" w14:textId="77777777" w:rsidR="004872AE" w:rsidRPr="002B5869" w:rsidRDefault="004872AE">
      <w:pPr>
        <w:rPr>
          <w:rFonts w:ascii="Arial" w:hAnsi="Arial" w:cs="Arial"/>
          <w:sz w:val="22"/>
        </w:rPr>
      </w:pPr>
    </w:p>
    <w:p w14:paraId="6C0A4C9A" w14:textId="77777777" w:rsidR="00F90AF7" w:rsidRPr="002B5869" w:rsidRDefault="00782D16" w:rsidP="00782D16">
      <w:pPr>
        <w:ind w:left="5664" w:firstLine="708"/>
        <w:jc w:val="both"/>
        <w:rPr>
          <w:rFonts w:ascii="Arial" w:hAnsi="Arial" w:cs="Arial"/>
          <w:sz w:val="22"/>
        </w:rPr>
      </w:pPr>
      <w:r w:rsidRPr="002B5869">
        <w:rPr>
          <w:rFonts w:ascii="Arial" w:hAnsi="Arial" w:cs="Arial"/>
          <w:sz w:val="22"/>
        </w:rPr>
        <w:t>Partie défenderesse</w:t>
      </w:r>
    </w:p>
    <w:p w14:paraId="6C0A4C9B" w14:textId="77777777" w:rsidR="004872AE" w:rsidRPr="002B5869" w:rsidRDefault="004872AE" w:rsidP="00782D16">
      <w:pPr>
        <w:jc w:val="both"/>
        <w:rPr>
          <w:rFonts w:ascii="Arial" w:hAnsi="Arial" w:cs="Arial"/>
          <w:sz w:val="22"/>
        </w:rPr>
      </w:pPr>
    </w:p>
    <w:p w14:paraId="6C0A4C9C" w14:textId="77777777" w:rsidR="00782D16" w:rsidRDefault="00782D16" w:rsidP="00782D16">
      <w:pPr>
        <w:pBdr>
          <w:bottom w:val="single" w:sz="12" w:space="1" w:color="auto"/>
        </w:pBdr>
        <w:jc w:val="both"/>
        <w:rPr>
          <w:rFonts w:ascii="Arial" w:hAnsi="Arial" w:cs="Arial"/>
          <w:sz w:val="22"/>
        </w:rPr>
      </w:pPr>
    </w:p>
    <w:p w14:paraId="6C0A4C9D" w14:textId="77777777" w:rsidR="008D011F" w:rsidRPr="00AE3D6F" w:rsidRDefault="00D22ADC" w:rsidP="00D22ADC">
      <w:pPr>
        <w:spacing w:before="12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caps/>
          <w:sz w:val="22"/>
        </w:rPr>
        <w:t>EXPOSÉ D’AUDIENCE</w:t>
      </w:r>
    </w:p>
    <w:p w14:paraId="6C0A4C9E" w14:textId="77777777" w:rsidR="004872AE" w:rsidRPr="004C4CB4" w:rsidRDefault="00782D16" w:rsidP="004872AE">
      <w:pPr>
        <w:pBdr>
          <w:bottom w:val="single" w:sz="12" w:space="4" w:color="auto"/>
        </w:pBdr>
        <w:spacing w:after="120"/>
        <w:jc w:val="center"/>
        <w:rPr>
          <w:rFonts w:ascii="Arial" w:hAnsi="Arial" w:cs="Arial"/>
          <w:sz w:val="22"/>
        </w:rPr>
      </w:pPr>
      <w:r w:rsidRPr="004C4CB4">
        <w:rPr>
          <w:rFonts w:ascii="Arial" w:hAnsi="Arial" w:cs="Arial"/>
          <w:sz w:val="22"/>
        </w:rPr>
        <w:t>(</w:t>
      </w:r>
      <w:proofErr w:type="gramStart"/>
      <w:r w:rsidRPr="004C4CB4">
        <w:rPr>
          <w:rFonts w:ascii="Arial" w:hAnsi="Arial" w:cs="Arial"/>
          <w:sz w:val="22"/>
        </w:rPr>
        <w:t>art.</w:t>
      </w:r>
      <w:proofErr w:type="gramEnd"/>
      <w:r w:rsidRPr="004C4CB4">
        <w:rPr>
          <w:rFonts w:ascii="Arial" w:hAnsi="Arial" w:cs="Arial"/>
          <w:sz w:val="22"/>
        </w:rPr>
        <w:t xml:space="preserve"> </w:t>
      </w:r>
      <w:r w:rsidR="00D22ADC" w:rsidRPr="004C4CB4">
        <w:rPr>
          <w:rFonts w:ascii="Arial" w:hAnsi="Arial" w:cs="Arial"/>
          <w:sz w:val="22"/>
        </w:rPr>
        <w:t>158.1</w:t>
      </w:r>
      <w:r w:rsidR="00D22ADC" w:rsidRPr="004C4CB4">
        <w:rPr>
          <w:rFonts w:ascii="Arial" w:hAnsi="Arial" w:cs="Arial"/>
          <w:sz w:val="22"/>
          <w:vertAlign w:val="superscript"/>
        </w:rPr>
        <w:t>0</w:t>
      </w:r>
      <w:r w:rsidR="00E05CCC" w:rsidRPr="004C4CB4">
        <w:rPr>
          <w:rFonts w:ascii="Arial" w:hAnsi="Arial" w:cs="Arial"/>
          <w:sz w:val="22"/>
          <w:vertAlign w:val="superscript"/>
        </w:rPr>
        <w:t xml:space="preserve"> </w:t>
      </w:r>
      <w:proofErr w:type="spellStart"/>
      <w:r w:rsidRPr="004C4CB4">
        <w:rPr>
          <w:rFonts w:ascii="Arial" w:hAnsi="Arial" w:cs="Arial"/>
          <w:sz w:val="22"/>
        </w:rPr>
        <w:t>C.p.c</w:t>
      </w:r>
      <w:proofErr w:type="spellEnd"/>
      <w:r w:rsidRPr="004C4CB4">
        <w:rPr>
          <w:rFonts w:ascii="Arial" w:hAnsi="Arial" w:cs="Arial"/>
          <w:sz w:val="22"/>
        </w:rPr>
        <w:t>.)</w:t>
      </w:r>
      <w:r w:rsidR="004872AE" w:rsidRPr="004C4CB4">
        <w:rPr>
          <w:rFonts w:ascii="Arial" w:hAnsi="Arial" w:cs="Arial"/>
          <w:sz w:val="22"/>
        </w:rPr>
        <w:t xml:space="preserve"> </w:t>
      </w:r>
    </w:p>
    <w:p w14:paraId="6C0A4C9F" w14:textId="77777777" w:rsidR="00D22ADC" w:rsidRDefault="00D22ADC" w:rsidP="00C91A86">
      <w:pPr>
        <w:spacing w:before="240" w:after="120"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En vue de l’audience </w:t>
      </w:r>
      <w:r w:rsidR="007219E5">
        <w:rPr>
          <w:rFonts w:ascii="Arial" w:hAnsi="Arial" w:cs="Arial"/>
          <w:b/>
          <w:sz w:val="22"/>
        </w:rPr>
        <w:t xml:space="preserve">sur le fond </w:t>
      </w:r>
      <w:r>
        <w:rPr>
          <w:rFonts w:ascii="Arial" w:hAnsi="Arial" w:cs="Arial"/>
          <w:b/>
          <w:sz w:val="22"/>
        </w:rPr>
        <w:t xml:space="preserve">prévue en </w:t>
      </w:r>
      <w:r w:rsidR="007219E5">
        <w:rPr>
          <w:rFonts w:ascii="Arial" w:hAnsi="Arial" w:cs="Arial"/>
          <w:b/>
          <w:sz w:val="22"/>
        </w:rPr>
        <w:t xml:space="preserve">l’instance, </w:t>
      </w:r>
      <w:r>
        <w:rPr>
          <w:rFonts w:ascii="Arial" w:hAnsi="Arial" w:cs="Arial"/>
          <w:b/>
          <w:sz w:val="22"/>
        </w:rPr>
        <w:t>les parties conviennent de ce qui suit 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6E67A3" w:rsidRPr="00B33EEE" w14:paraId="6C0A4CA1" w14:textId="77777777" w:rsidTr="00E05CCC">
        <w:tc>
          <w:tcPr>
            <w:tcW w:w="9540" w:type="dxa"/>
            <w:tcBorders>
              <w:bottom w:val="single" w:sz="4" w:space="0" w:color="auto"/>
            </w:tcBorders>
            <w:shd w:val="clear" w:color="auto" w:fill="E6E6E6"/>
          </w:tcPr>
          <w:p w14:paraId="6C0A4CA0" w14:textId="77777777" w:rsidR="006E67A3" w:rsidRPr="006E67A3" w:rsidRDefault="006E67A3" w:rsidP="00D22ADC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6E67A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 – </w:t>
            </w:r>
            <w:r w:rsidR="00D22ADC">
              <w:rPr>
                <w:rFonts w:ascii="Arial" w:hAnsi="Arial" w:cs="Arial"/>
                <w:b/>
                <w:color w:val="000000"/>
                <w:sz w:val="22"/>
                <w:szCs w:val="22"/>
              </w:rPr>
              <w:t>L’EXPOSÉ DES FAITS ADMIS</w:t>
            </w:r>
          </w:p>
        </w:tc>
      </w:tr>
      <w:tr w:rsidR="00D22ADC" w:rsidRPr="00B33EEE" w14:paraId="6C0A4CA3" w14:textId="77777777" w:rsidTr="00D22ADC"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14:paraId="6C0A4CA2" w14:textId="77777777" w:rsidR="00D22ADC" w:rsidRPr="006E67A3" w:rsidRDefault="00D22ADC" w:rsidP="00D22ADC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22ADC" w:rsidRPr="00B33EEE" w14:paraId="6C0A4CA5" w14:textId="77777777" w:rsidTr="00D22ADC">
        <w:tc>
          <w:tcPr>
            <w:tcW w:w="9540" w:type="dxa"/>
            <w:tcBorders>
              <w:bottom w:val="single" w:sz="4" w:space="0" w:color="auto"/>
            </w:tcBorders>
          </w:tcPr>
          <w:p w14:paraId="6C0A4CA4" w14:textId="77777777" w:rsidR="00D22ADC" w:rsidRPr="006E67A3" w:rsidRDefault="00D22ADC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La chronologie des faits admis par les parties s’établit tel qu’il suit :</w:t>
            </w:r>
          </w:p>
        </w:tc>
      </w:tr>
      <w:tr w:rsidR="003E17F6" w:rsidRPr="00B33EEE" w14:paraId="6C0A4CA7" w14:textId="77777777" w:rsidTr="00D22ADC">
        <w:trPr>
          <w:trHeight w:val="756"/>
        </w:trPr>
        <w:tc>
          <w:tcPr>
            <w:tcW w:w="9540" w:type="dxa"/>
          </w:tcPr>
          <w:p w14:paraId="6C0A4CA6" w14:textId="77777777" w:rsidR="003E17F6" w:rsidRDefault="003E17F6" w:rsidP="009051F3">
            <w:pPr>
              <w:numPr>
                <w:ilvl w:val="0"/>
                <w:numId w:val="2"/>
              </w:num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 w:hanging="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Un incendie survient le 8 septembre 2019 dans l’un des huit logements de l’immeuble appartenant à Jean-Louis Beaulieu. </w:t>
            </w:r>
            <w:r w:rsidR="009051F3">
              <w:rPr>
                <w:rFonts w:ascii="Arial" w:hAnsi="Arial" w:cs="Arial"/>
                <w:color w:val="000000"/>
                <w:sz w:val="22"/>
                <w:szCs w:val="22"/>
              </w:rPr>
              <w:t>Il en est propriétaire depuis cinq ans, et 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bâtiment est assuré auprès de Platine Assurance.</w:t>
            </w:r>
          </w:p>
        </w:tc>
      </w:tr>
      <w:tr w:rsidR="00D22ADC" w:rsidRPr="00B33EEE" w14:paraId="6C0A4CA9" w14:textId="77777777" w:rsidTr="00D22ADC">
        <w:trPr>
          <w:trHeight w:val="756"/>
        </w:trPr>
        <w:tc>
          <w:tcPr>
            <w:tcW w:w="9540" w:type="dxa"/>
          </w:tcPr>
          <w:p w14:paraId="6C0A4CA8" w14:textId="77777777" w:rsidR="00D22ADC" w:rsidRPr="00D22ADC" w:rsidRDefault="00850F3E" w:rsidP="003E17F6">
            <w:pPr>
              <w:numPr>
                <w:ilvl w:val="0"/>
                <w:numId w:val="2"/>
              </w:num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 w:hanging="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L’incendie</w:t>
            </w:r>
            <w:r w:rsidR="003E17F6">
              <w:rPr>
                <w:rFonts w:ascii="Arial" w:hAnsi="Arial" w:cs="Arial"/>
                <w:color w:val="000000"/>
                <w:sz w:val="22"/>
                <w:szCs w:val="22"/>
              </w:rPr>
              <w:t xml:space="preserve"> débute dans l’appartement 304, occupé par Sylvain Laflamme</w:t>
            </w:r>
            <w:r w:rsidR="009051F3">
              <w:rPr>
                <w:rFonts w:ascii="Arial" w:hAnsi="Arial" w:cs="Arial"/>
                <w:color w:val="000000"/>
                <w:sz w:val="22"/>
                <w:szCs w:val="22"/>
              </w:rPr>
              <w:t xml:space="preserve"> depuis trois ans</w:t>
            </w:r>
            <w:r w:rsidR="003E17F6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La centrale 911 reçoit </w:t>
            </w:r>
            <w:r w:rsidR="00E177E5">
              <w:rPr>
                <w:rFonts w:ascii="Arial" w:hAnsi="Arial" w:cs="Arial"/>
                <w:color w:val="000000"/>
                <w:sz w:val="22"/>
                <w:szCs w:val="22"/>
              </w:rPr>
              <w:t xml:space="preserve">l’appel de </w:t>
            </w:r>
            <w:r w:rsidR="003E17F6">
              <w:rPr>
                <w:rFonts w:ascii="Arial" w:hAnsi="Arial" w:cs="Arial"/>
                <w:color w:val="000000"/>
                <w:sz w:val="22"/>
                <w:szCs w:val="22"/>
              </w:rPr>
              <w:t>ce dernier</w:t>
            </w:r>
            <w:r w:rsidR="00E177E5">
              <w:rPr>
                <w:rFonts w:ascii="Arial" w:hAnsi="Arial" w:cs="Arial"/>
                <w:color w:val="000000"/>
                <w:sz w:val="22"/>
                <w:szCs w:val="22"/>
              </w:rPr>
              <w:t xml:space="preserve"> à </w:t>
            </w:r>
            <w:r w:rsidR="001D6383">
              <w:rPr>
                <w:rFonts w:ascii="Arial" w:hAnsi="Arial" w:cs="Arial"/>
                <w:color w:val="000000"/>
                <w:sz w:val="22"/>
                <w:szCs w:val="22"/>
              </w:rPr>
              <w:t>19h30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Les pompiers arrivent sur </w:t>
            </w:r>
            <w:r w:rsidR="00801B00">
              <w:rPr>
                <w:rFonts w:ascii="Arial" w:hAnsi="Arial" w:cs="Arial"/>
                <w:color w:val="000000"/>
                <w:sz w:val="22"/>
                <w:szCs w:val="22"/>
              </w:rPr>
              <w:t>place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051F3">
              <w:rPr>
                <w:rFonts w:ascii="Arial" w:hAnsi="Arial" w:cs="Arial"/>
                <w:color w:val="000000"/>
                <w:sz w:val="22"/>
                <w:szCs w:val="22"/>
              </w:rPr>
              <w:t>à </w:t>
            </w:r>
            <w:r w:rsidR="00E177E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3C0330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="001D6383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E177E5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DA3599">
              <w:rPr>
                <w:rFonts w:ascii="Arial" w:hAnsi="Arial" w:cs="Arial"/>
                <w:color w:val="000000"/>
                <w:sz w:val="22"/>
                <w:szCs w:val="22"/>
              </w:rPr>
              <w:t>La plus proche caserne est située à 2</w:t>
            </w:r>
            <w:r w:rsidR="004C4CB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A3599">
              <w:rPr>
                <w:rFonts w:ascii="Arial" w:hAnsi="Arial" w:cs="Arial"/>
                <w:color w:val="000000"/>
                <w:sz w:val="22"/>
                <w:szCs w:val="22"/>
              </w:rPr>
              <w:t>km de là.</w:t>
            </w:r>
          </w:p>
        </w:tc>
      </w:tr>
      <w:tr w:rsidR="00D22ADC" w:rsidRPr="00B33EEE" w14:paraId="6C0A4CAB" w14:textId="77777777" w:rsidTr="00D22ADC">
        <w:trPr>
          <w:trHeight w:val="756"/>
        </w:trPr>
        <w:tc>
          <w:tcPr>
            <w:tcW w:w="9540" w:type="dxa"/>
          </w:tcPr>
          <w:p w14:paraId="6C0A4CAA" w14:textId="77777777" w:rsidR="00D22ADC" w:rsidRPr="006E67A3" w:rsidRDefault="00E177E5" w:rsidP="007219E5">
            <w:pPr>
              <w:numPr>
                <w:ilvl w:val="0"/>
                <w:numId w:val="2"/>
              </w:num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 w:hanging="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À 18h30</w:t>
            </w:r>
            <w:r w:rsidR="008F0B7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E17F6">
              <w:rPr>
                <w:rFonts w:ascii="Arial" w:hAnsi="Arial" w:cs="Arial"/>
                <w:color w:val="000000"/>
                <w:sz w:val="22"/>
                <w:szCs w:val="22"/>
              </w:rPr>
              <w:t xml:space="preserve">ce soir-là, monsieur Laflamme </w:t>
            </w:r>
            <w:r w:rsidR="008F0B7B">
              <w:rPr>
                <w:rFonts w:ascii="Arial" w:hAnsi="Arial" w:cs="Arial"/>
                <w:color w:val="000000"/>
                <w:sz w:val="22"/>
                <w:szCs w:val="22"/>
              </w:rPr>
              <w:t>s’était servi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 son tout nouveau four </w:t>
            </w:r>
            <w:r w:rsidR="00DA3599">
              <w:rPr>
                <w:rFonts w:ascii="Arial" w:hAnsi="Arial" w:cs="Arial"/>
                <w:color w:val="000000"/>
                <w:sz w:val="22"/>
                <w:szCs w:val="22"/>
              </w:rPr>
              <w:t xml:space="preserve">à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micro-ondes pour faire réchauffer </w:t>
            </w:r>
            <w:r w:rsidR="00DA3599">
              <w:rPr>
                <w:rFonts w:ascii="Arial" w:hAnsi="Arial" w:cs="Arial"/>
                <w:color w:val="000000"/>
                <w:sz w:val="22"/>
                <w:szCs w:val="22"/>
              </w:rPr>
              <w:t>un plat 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lasagne </w:t>
            </w:r>
            <w:r w:rsidR="005E69A9">
              <w:rPr>
                <w:rFonts w:ascii="Arial" w:hAnsi="Arial" w:cs="Arial"/>
                <w:color w:val="000000"/>
                <w:sz w:val="22"/>
                <w:szCs w:val="22"/>
              </w:rPr>
              <w:t>sur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gelée. Or, </w:t>
            </w:r>
            <w:r w:rsidR="008F0B7B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 four </w:t>
            </w:r>
            <w:r w:rsidR="00801B00">
              <w:rPr>
                <w:rFonts w:ascii="Arial" w:hAnsi="Arial" w:cs="Arial"/>
                <w:color w:val="000000"/>
                <w:sz w:val="22"/>
                <w:szCs w:val="22"/>
              </w:rPr>
              <w:t>s’</w:t>
            </w:r>
            <w:r w:rsidR="008F0B7B">
              <w:rPr>
                <w:rFonts w:ascii="Arial" w:hAnsi="Arial" w:cs="Arial"/>
                <w:color w:val="000000"/>
                <w:sz w:val="22"/>
                <w:szCs w:val="22"/>
              </w:rPr>
              <w:t>est soudainement arrêté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avant l’expiration du temps de fonctionnement </w:t>
            </w:r>
            <w:r w:rsidR="00D73775">
              <w:rPr>
                <w:rFonts w:ascii="Arial" w:hAnsi="Arial" w:cs="Arial"/>
                <w:color w:val="000000"/>
                <w:sz w:val="22"/>
                <w:szCs w:val="22"/>
              </w:rPr>
              <w:t xml:space="preserve">qu’il avait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programmé. </w:t>
            </w:r>
            <w:r w:rsidR="007219E5">
              <w:rPr>
                <w:rFonts w:ascii="Arial" w:hAnsi="Arial" w:cs="Arial"/>
                <w:color w:val="000000"/>
                <w:sz w:val="22"/>
                <w:szCs w:val="22"/>
              </w:rPr>
              <w:t>Il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F0B7B">
              <w:rPr>
                <w:rFonts w:ascii="Arial" w:hAnsi="Arial" w:cs="Arial"/>
                <w:color w:val="000000"/>
                <w:sz w:val="22"/>
                <w:szCs w:val="22"/>
              </w:rPr>
              <w:t>n’a pas réussi</w:t>
            </w:r>
            <w:r w:rsidR="00801B0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A3599">
              <w:rPr>
                <w:rFonts w:ascii="Arial" w:hAnsi="Arial" w:cs="Arial"/>
                <w:color w:val="000000"/>
                <w:sz w:val="22"/>
                <w:szCs w:val="22"/>
              </w:rPr>
              <w:t>à 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faire redémarrer</w:t>
            </w:r>
            <w:r w:rsidR="00DA359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D22ADC" w:rsidRPr="00B33EEE" w14:paraId="6C0A4CAD" w14:textId="77777777" w:rsidTr="00D22ADC">
        <w:trPr>
          <w:trHeight w:val="756"/>
        </w:trPr>
        <w:tc>
          <w:tcPr>
            <w:tcW w:w="9540" w:type="dxa"/>
          </w:tcPr>
          <w:p w14:paraId="6C0A4CAC" w14:textId="77777777" w:rsidR="00D22ADC" w:rsidRPr="006E67A3" w:rsidRDefault="00E177E5" w:rsidP="00D73775">
            <w:pPr>
              <w:numPr>
                <w:ilvl w:val="0"/>
                <w:numId w:val="2"/>
              </w:num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 w:hanging="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Vers 19h59, </w:t>
            </w:r>
            <w:r w:rsidR="008F0B7B">
              <w:rPr>
                <w:rFonts w:ascii="Arial" w:hAnsi="Arial" w:cs="Arial"/>
                <w:color w:val="000000"/>
                <w:sz w:val="22"/>
                <w:szCs w:val="22"/>
              </w:rPr>
              <w:t xml:space="preserve">il </w:t>
            </w:r>
            <w:r w:rsidR="00D73775">
              <w:rPr>
                <w:rFonts w:ascii="Arial" w:hAnsi="Arial" w:cs="Arial"/>
                <w:color w:val="000000"/>
                <w:sz w:val="22"/>
                <w:szCs w:val="22"/>
              </w:rPr>
              <w:t>sent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une odeur de fumée </w:t>
            </w:r>
            <w:r w:rsidR="008F0B7B">
              <w:rPr>
                <w:rFonts w:ascii="Arial" w:hAnsi="Arial" w:cs="Arial"/>
                <w:color w:val="000000"/>
                <w:sz w:val="22"/>
                <w:szCs w:val="22"/>
              </w:rPr>
              <w:t>alors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qu’</w:t>
            </w:r>
            <w:r w:rsidR="00D73775">
              <w:rPr>
                <w:rFonts w:ascii="Arial" w:hAnsi="Arial" w:cs="Arial"/>
                <w:color w:val="000000"/>
                <w:sz w:val="22"/>
                <w:szCs w:val="22"/>
              </w:rPr>
              <w:t>il regarde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la télévision dans sa salle de séjour</w:t>
            </w:r>
            <w:r w:rsidR="00850F3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F0B7B">
              <w:rPr>
                <w:rFonts w:ascii="Arial" w:hAnsi="Arial" w:cs="Arial"/>
                <w:color w:val="000000"/>
                <w:sz w:val="22"/>
                <w:szCs w:val="22"/>
              </w:rPr>
              <w:t>Il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73775">
              <w:rPr>
                <w:rFonts w:ascii="Arial" w:hAnsi="Arial" w:cs="Arial"/>
                <w:color w:val="000000"/>
                <w:sz w:val="22"/>
                <w:szCs w:val="22"/>
              </w:rPr>
              <w:t>compose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le 911 en se servant de son téléphone cellulaire</w:t>
            </w:r>
            <w:r w:rsidR="00A929A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929AE">
              <w:rPr>
                <w:rFonts w:ascii="Arial" w:hAnsi="Arial" w:cs="Arial"/>
                <w:color w:val="000000"/>
                <w:sz w:val="22"/>
                <w:szCs w:val="22"/>
              </w:rPr>
              <w:t>Sans passer par la cuisine, il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73775">
              <w:rPr>
                <w:rFonts w:ascii="Arial" w:hAnsi="Arial" w:cs="Arial"/>
                <w:color w:val="000000"/>
                <w:sz w:val="22"/>
                <w:szCs w:val="22"/>
              </w:rPr>
              <w:t>se rend</w:t>
            </w:r>
            <w:r w:rsidR="00A929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01B00">
              <w:rPr>
                <w:rFonts w:ascii="Arial" w:hAnsi="Arial" w:cs="Arial"/>
                <w:color w:val="000000"/>
                <w:sz w:val="22"/>
                <w:szCs w:val="22"/>
              </w:rPr>
              <w:t xml:space="preserve">à l’extérieur </w:t>
            </w:r>
            <w:r w:rsidR="00D73775">
              <w:rPr>
                <w:rFonts w:ascii="Arial" w:hAnsi="Arial" w:cs="Arial"/>
                <w:color w:val="000000"/>
                <w:sz w:val="22"/>
                <w:szCs w:val="22"/>
              </w:rPr>
              <w:t xml:space="preserve">pour </w:t>
            </w:r>
            <w:r w:rsidR="00DA3599">
              <w:rPr>
                <w:rFonts w:ascii="Arial" w:hAnsi="Arial" w:cs="Arial"/>
                <w:color w:val="000000"/>
                <w:sz w:val="22"/>
                <w:szCs w:val="22"/>
              </w:rPr>
              <w:t xml:space="preserve">attendre </w:t>
            </w:r>
            <w:r w:rsidR="00A929AE">
              <w:rPr>
                <w:rFonts w:ascii="Arial" w:hAnsi="Arial" w:cs="Arial"/>
                <w:color w:val="000000"/>
                <w:sz w:val="22"/>
                <w:szCs w:val="22"/>
              </w:rPr>
              <w:t>l’arrivée d</w:t>
            </w:r>
            <w:r w:rsidR="00DA3599">
              <w:rPr>
                <w:rFonts w:ascii="Arial" w:hAnsi="Arial" w:cs="Arial"/>
                <w:color w:val="000000"/>
                <w:sz w:val="22"/>
                <w:szCs w:val="22"/>
              </w:rPr>
              <w:t>es pompiers.</w:t>
            </w:r>
          </w:p>
        </w:tc>
      </w:tr>
      <w:tr w:rsidR="00D22ADC" w:rsidRPr="00B33EEE" w14:paraId="6C0A4CAF" w14:textId="77777777" w:rsidTr="00D22ADC">
        <w:trPr>
          <w:trHeight w:val="756"/>
        </w:trPr>
        <w:tc>
          <w:tcPr>
            <w:tcW w:w="9540" w:type="dxa"/>
          </w:tcPr>
          <w:p w14:paraId="6C0A4CAE" w14:textId="77777777" w:rsidR="00D22ADC" w:rsidRPr="006E67A3" w:rsidRDefault="004C4CB4" w:rsidP="003E17F6">
            <w:pPr>
              <w:numPr>
                <w:ilvl w:val="0"/>
                <w:numId w:val="2"/>
              </w:num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 w:hanging="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Trois locataires de l’immeuble – </w:t>
            </w:r>
            <w:r w:rsidR="00DA3599">
              <w:rPr>
                <w:rFonts w:ascii="Arial" w:hAnsi="Arial" w:cs="Arial"/>
                <w:color w:val="000000"/>
                <w:sz w:val="22"/>
                <w:szCs w:val="22"/>
              </w:rPr>
              <w:t>qui occupent</w:t>
            </w:r>
            <w:r w:rsidR="00850F3E">
              <w:rPr>
                <w:rFonts w:ascii="Arial" w:hAnsi="Arial" w:cs="Arial"/>
                <w:color w:val="000000"/>
                <w:sz w:val="22"/>
                <w:szCs w:val="22"/>
              </w:rPr>
              <w:t xml:space="preserve"> les logements 204, 305 et 402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="008F0B7B">
              <w:rPr>
                <w:rFonts w:ascii="Arial" w:hAnsi="Arial" w:cs="Arial"/>
                <w:color w:val="000000"/>
                <w:sz w:val="22"/>
                <w:szCs w:val="22"/>
              </w:rPr>
              <w:t>s’étaient plaints</w:t>
            </w:r>
            <w:r w:rsidR="00850F3E">
              <w:rPr>
                <w:rFonts w:ascii="Arial" w:hAnsi="Arial" w:cs="Arial"/>
                <w:color w:val="000000"/>
                <w:sz w:val="22"/>
                <w:szCs w:val="22"/>
              </w:rPr>
              <w:t xml:space="preserve"> au concierge </w:t>
            </w:r>
            <w:r w:rsidR="00801B00">
              <w:rPr>
                <w:rFonts w:ascii="Arial" w:hAnsi="Arial" w:cs="Arial"/>
                <w:color w:val="000000"/>
                <w:sz w:val="22"/>
                <w:szCs w:val="22"/>
              </w:rPr>
              <w:t>de l’immeuble</w:t>
            </w:r>
            <w:r w:rsidR="00A929A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01B0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F0B7B">
              <w:rPr>
                <w:rFonts w:ascii="Arial" w:hAnsi="Arial" w:cs="Arial"/>
                <w:color w:val="000000"/>
                <w:sz w:val="22"/>
                <w:szCs w:val="22"/>
              </w:rPr>
              <w:t>durant</w:t>
            </w:r>
            <w:r w:rsidR="00850F3E">
              <w:rPr>
                <w:rFonts w:ascii="Arial" w:hAnsi="Arial" w:cs="Arial"/>
                <w:color w:val="000000"/>
                <w:sz w:val="22"/>
                <w:szCs w:val="22"/>
              </w:rPr>
              <w:t xml:space="preserve"> la semaine précédant l’incendie</w:t>
            </w:r>
            <w:r w:rsidR="00A929A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850F3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A3599">
              <w:rPr>
                <w:rFonts w:ascii="Arial" w:hAnsi="Arial" w:cs="Arial"/>
                <w:color w:val="000000"/>
                <w:sz w:val="22"/>
                <w:szCs w:val="22"/>
              </w:rPr>
              <w:t>d’un problème de</w:t>
            </w:r>
            <w:r w:rsidR="00850F3E">
              <w:rPr>
                <w:rFonts w:ascii="Arial" w:hAnsi="Arial" w:cs="Arial"/>
                <w:color w:val="000000"/>
                <w:sz w:val="22"/>
                <w:szCs w:val="22"/>
              </w:rPr>
              <w:t xml:space="preserve"> variation de courant</w:t>
            </w:r>
            <w:r w:rsidR="0055557C">
              <w:rPr>
                <w:rFonts w:ascii="Arial" w:hAnsi="Arial" w:cs="Arial"/>
                <w:color w:val="000000"/>
                <w:sz w:val="22"/>
                <w:szCs w:val="22"/>
              </w:rPr>
              <w:t xml:space="preserve"> et </w:t>
            </w:r>
            <w:r w:rsidR="00801B00">
              <w:rPr>
                <w:rFonts w:ascii="Arial" w:hAnsi="Arial" w:cs="Arial"/>
                <w:color w:val="000000"/>
                <w:sz w:val="22"/>
                <w:szCs w:val="22"/>
              </w:rPr>
              <w:t>de déclenchement de</w:t>
            </w:r>
            <w:r w:rsidR="0055557C">
              <w:rPr>
                <w:rFonts w:ascii="Arial" w:hAnsi="Arial" w:cs="Arial"/>
                <w:color w:val="000000"/>
                <w:sz w:val="22"/>
                <w:szCs w:val="22"/>
              </w:rPr>
              <w:t xml:space="preserve"> disjoncteurs </w:t>
            </w:r>
            <w:r w:rsidR="00150948">
              <w:rPr>
                <w:rFonts w:ascii="Arial" w:hAnsi="Arial" w:cs="Arial"/>
                <w:color w:val="000000"/>
                <w:sz w:val="22"/>
                <w:szCs w:val="22"/>
              </w:rPr>
              <w:t>dans</w:t>
            </w:r>
            <w:r w:rsidR="00DA3599">
              <w:rPr>
                <w:rFonts w:ascii="Arial" w:hAnsi="Arial" w:cs="Arial"/>
                <w:color w:val="000000"/>
                <w:sz w:val="22"/>
                <w:szCs w:val="22"/>
              </w:rPr>
              <w:t xml:space="preserve"> leurs logements </w:t>
            </w:r>
            <w:r w:rsidR="00801B00">
              <w:rPr>
                <w:rFonts w:ascii="Arial" w:hAnsi="Arial" w:cs="Arial"/>
                <w:color w:val="000000"/>
                <w:sz w:val="22"/>
                <w:szCs w:val="22"/>
              </w:rPr>
              <w:t>respectifs</w:t>
            </w:r>
            <w:r w:rsidR="0055557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051F3">
              <w:rPr>
                <w:rFonts w:ascii="Arial" w:hAnsi="Arial" w:cs="Arial"/>
                <w:color w:val="000000"/>
                <w:sz w:val="22"/>
                <w:szCs w:val="22"/>
              </w:rPr>
              <w:t xml:space="preserve"> Le concierge occupe cet emploi depuis quatre ans.</w:t>
            </w:r>
          </w:p>
        </w:tc>
      </w:tr>
      <w:tr w:rsidR="00D22ADC" w:rsidRPr="00B33EEE" w14:paraId="6C0A4CB1" w14:textId="77777777" w:rsidTr="00D22ADC">
        <w:trPr>
          <w:trHeight w:val="756"/>
        </w:trPr>
        <w:tc>
          <w:tcPr>
            <w:tcW w:w="9540" w:type="dxa"/>
          </w:tcPr>
          <w:p w14:paraId="6C0A4CB0" w14:textId="77777777" w:rsidR="00D22ADC" w:rsidRPr="006E67A3" w:rsidRDefault="0055557C" w:rsidP="008F0B7B">
            <w:pPr>
              <w:numPr>
                <w:ilvl w:val="0"/>
                <w:numId w:val="2"/>
              </w:num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 w:hanging="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L’assureur du propriétaire de l’immeuble lui a versé une indemnité de 1 000 000$ à la suite de ce sinistre. </w:t>
            </w:r>
            <w:r w:rsidR="008F0B7B">
              <w:rPr>
                <w:rFonts w:ascii="Arial" w:hAnsi="Arial" w:cs="Arial"/>
                <w:color w:val="000000"/>
                <w:sz w:val="22"/>
                <w:szCs w:val="22"/>
              </w:rPr>
              <w:t>L’</w:t>
            </w:r>
            <w:r w:rsidR="00DD6076">
              <w:rPr>
                <w:rFonts w:ascii="Arial" w:hAnsi="Arial" w:cs="Arial"/>
                <w:color w:val="000000"/>
                <w:sz w:val="22"/>
                <w:szCs w:val="22"/>
              </w:rPr>
              <w:t>immeuble était</w:t>
            </w:r>
            <w:r w:rsidR="008F0B7B">
              <w:rPr>
                <w:rFonts w:ascii="Arial" w:hAnsi="Arial" w:cs="Arial"/>
                <w:color w:val="000000"/>
                <w:sz w:val="22"/>
                <w:szCs w:val="22"/>
              </w:rPr>
              <w:t xml:space="preserve"> assuré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« valeur à neuf ».</w:t>
            </w:r>
            <w:r w:rsidR="003E17F6">
              <w:rPr>
                <w:rFonts w:ascii="Arial" w:hAnsi="Arial" w:cs="Arial"/>
                <w:color w:val="000000"/>
                <w:sz w:val="22"/>
                <w:szCs w:val="22"/>
              </w:rPr>
              <w:t xml:space="preserve"> Platine Assurance poursuit en l’instance le fabricant du four à micro-ondes de monsieur Laflamme.</w:t>
            </w:r>
          </w:p>
        </w:tc>
      </w:tr>
    </w:tbl>
    <w:p w14:paraId="6C0A4CB2" w14:textId="77777777" w:rsidR="00D22ADC" w:rsidRDefault="00D22ADC"/>
    <w:p w14:paraId="6C0A4CB3" w14:textId="77777777" w:rsidR="00EE6CE0" w:rsidRDefault="00EE6CE0"/>
    <w:p w14:paraId="6C0A4CB4" w14:textId="77777777" w:rsidR="00EE6CE0" w:rsidRDefault="003E17F6"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D22ADC" w:rsidRPr="00B33EEE" w14:paraId="6C0A4CB6" w14:textId="77777777" w:rsidTr="00D22ADC">
        <w:tc>
          <w:tcPr>
            <w:tcW w:w="9540" w:type="dxa"/>
            <w:tcBorders>
              <w:bottom w:val="single" w:sz="4" w:space="0" w:color="auto"/>
            </w:tcBorders>
            <w:shd w:val="clear" w:color="auto" w:fill="E6E6E6"/>
          </w:tcPr>
          <w:p w14:paraId="6C0A4CB5" w14:textId="77777777" w:rsidR="00D22ADC" w:rsidRPr="006E67A3" w:rsidRDefault="00D22ADC" w:rsidP="00D22ADC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6E67A3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 w:rsidRPr="006E67A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L’EXPOSÉ COMMUN DES QUESTIONS DE FAITS ET DE DROIT</w:t>
            </w:r>
          </w:p>
        </w:tc>
      </w:tr>
      <w:tr w:rsidR="00D22ADC" w:rsidRPr="00B33EEE" w14:paraId="6C0A4CB8" w14:textId="77777777" w:rsidTr="00D22ADC"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14:paraId="6C0A4CB7" w14:textId="77777777" w:rsidR="00D22ADC" w:rsidRPr="006E67A3" w:rsidRDefault="00D22ADC" w:rsidP="00D22ADC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22ADC" w:rsidRPr="00B33EEE" w14:paraId="6C0A4CBA" w14:textId="77777777" w:rsidTr="00D22ADC">
        <w:tc>
          <w:tcPr>
            <w:tcW w:w="9540" w:type="dxa"/>
            <w:tcBorders>
              <w:bottom w:val="single" w:sz="4" w:space="0" w:color="auto"/>
            </w:tcBorders>
          </w:tcPr>
          <w:p w14:paraId="6C0A4CB9" w14:textId="77777777" w:rsidR="00D22ADC" w:rsidRPr="006E67A3" w:rsidRDefault="00D22ADC" w:rsidP="00D22ADC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Voici l’énoncé commun des questions de faits et de droit de ce litige :</w:t>
            </w:r>
          </w:p>
        </w:tc>
      </w:tr>
      <w:tr w:rsidR="00D22ADC" w:rsidRPr="00B33EEE" w14:paraId="6C0A4CBC" w14:textId="77777777" w:rsidTr="00D22ADC">
        <w:trPr>
          <w:trHeight w:val="756"/>
        </w:trPr>
        <w:tc>
          <w:tcPr>
            <w:tcW w:w="9540" w:type="dxa"/>
          </w:tcPr>
          <w:p w14:paraId="6C0A4CBB" w14:textId="77777777" w:rsidR="00D22ADC" w:rsidRPr="00D22ADC" w:rsidRDefault="003F7818" w:rsidP="005E69A9">
            <w:pPr>
              <w:numPr>
                <w:ilvl w:val="0"/>
                <w:numId w:val="3"/>
              </w:num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 w:hanging="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Quelle est la cause de l’incendie? S’agit-il d’</w:t>
            </w:r>
            <w:r w:rsidR="00DA3599">
              <w:rPr>
                <w:rFonts w:ascii="Arial" w:hAnsi="Arial" w:cs="Arial"/>
                <w:color w:val="000000"/>
                <w:sz w:val="22"/>
                <w:szCs w:val="22"/>
              </w:rPr>
              <w:t xml:space="preserve">une défectuosité du four à micro-ondes comme </w:t>
            </w:r>
            <w:r w:rsidR="005E69A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A3599">
              <w:rPr>
                <w:rFonts w:ascii="Arial" w:hAnsi="Arial" w:cs="Arial"/>
                <w:color w:val="000000"/>
                <w:sz w:val="22"/>
                <w:szCs w:val="22"/>
              </w:rPr>
              <w:t xml:space="preserve">l’assureur du propriétaire </w:t>
            </w:r>
            <w:r w:rsidR="005E69A9">
              <w:rPr>
                <w:rFonts w:ascii="Arial" w:hAnsi="Arial" w:cs="Arial"/>
                <w:color w:val="000000"/>
                <w:sz w:val="22"/>
                <w:szCs w:val="22"/>
              </w:rPr>
              <w:t>l’allègue</w:t>
            </w:r>
            <w:r w:rsidR="003E17F6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5E69A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ou plutôt du système électrique de l’immeuble</w:t>
            </w:r>
            <w:r w:rsidR="003C0330">
              <w:rPr>
                <w:rFonts w:ascii="Arial" w:hAnsi="Arial" w:cs="Arial"/>
                <w:color w:val="000000"/>
                <w:sz w:val="22"/>
                <w:szCs w:val="22"/>
              </w:rPr>
              <w:t xml:space="preserve"> comme le prétend le</w:t>
            </w:r>
            <w:r w:rsidR="00DA3599">
              <w:rPr>
                <w:rFonts w:ascii="Arial" w:hAnsi="Arial" w:cs="Arial"/>
                <w:color w:val="000000"/>
                <w:sz w:val="22"/>
                <w:szCs w:val="22"/>
              </w:rPr>
              <w:t xml:space="preserve"> fabricant de cet appareil?</w:t>
            </w:r>
          </w:p>
        </w:tc>
      </w:tr>
      <w:tr w:rsidR="00D22ADC" w:rsidRPr="00B33EEE" w14:paraId="6C0A4CBE" w14:textId="77777777" w:rsidTr="00D22ADC">
        <w:trPr>
          <w:trHeight w:val="756"/>
        </w:trPr>
        <w:tc>
          <w:tcPr>
            <w:tcW w:w="9540" w:type="dxa"/>
          </w:tcPr>
          <w:p w14:paraId="6C0A4CBD" w14:textId="77777777" w:rsidR="00D22ADC" w:rsidRPr="006E67A3" w:rsidRDefault="00DA3599" w:rsidP="00150948">
            <w:pPr>
              <w:numPr>
                <w:ilvl w:val="0"/>
                <w:numId w:val="3"/>
              </w:num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 w:hanging="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L’arc électrique retrouvé sur l’un des fils à l’intérieur du four à micro-ondes </w:t>
            </w:r>
            <w:r w:rsidR="00150948">
              <w:rPr>
                <w:rFonts w:ascii="Arial" w:hAnsi="Arial" w:cs="Arial"/>
                <w:color w:val="000000"/>
                <w:sz w:val="22"/>
                <w:szCs w:val="22"/>
              </w:rPr>
              <w:t>est-il</w:t>
            </w:r>
            <w:r w:rsidR="001D6383">
              <w:rPr>
                <w:rFonts w:ascii="Arial" w:hAnsi="Arial" w:cs="Arial"/>
                <w:color w:val="000000"/>
                <w:sz w:val="22"/>
                <w:szCs w:val="22"/>
              </w:rPr>
              <w:t xml:space="preserve"> la cause ou la conséquence de l’incendie?</w:t>
            </w:r>
          </w:p>
        </w:tc>
      </w:tr>
      <w:tr w:rsidR="00D22ADC" w:rsidRPr="00B33EEE" w14:paraId="6C0A4CC0" w14:textId="77777777" w:rsidTr="00D22ADC">
        <w:trPr>
          <w:trHeight w:val="756"/>
        </w:trPr>
        <w:tc>
          <w:tcPr>
            <w:tcW w:w="9540" w:type="dxa"/>
          </w:tcPr>
          <w:p w14:paraId="6C0A4CBF" w14:textId="77777777" w:rsidR="00D22ADC" w:rsidRPr="006E67A3" w:rsidRDefault="00756A10" w:rsidP="003E17F6">
            <w:pPr>
              <w:numPr>
                <w:ilvl w:val="0"/>
                <w:numId w:val="3"/>
              </w:num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 w:hanging="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Les dommages auraient-ils été moindres si les pompiers étaient arrivés sur place dans le délai </w:t>
            </w:r>
            <w:r w:rsidR="001D6383">
              <w:rPr>
                <w:rFonts w:ascii="Arial" w:hAnsi="Arial" w:cs="Arial"/>
                <w:color w:val="000000"/>
                <w:sz w:val="22"/>
                <w:szCs w:val="22"/>
              </w:rPr>
              <w:t xml:space="preserve">de 15 minutes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prévu au schéma de couverture de risques</w:t>
            </w:r>
            <w:r w:rsidR="003E17F6">
              <w:rPr>
                <w:rFonts w:ascii="Arial" w:hAnsi="Arial" w:cs="Arial"/>
                <w:color w:val="000000"/>
                <w:sz w:val="22"/>
                <w:szCs w:val="22"/>
              </w:rPr>
              <w:t>? 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oui, leur retard constitue-t-il un </w:t>
            </w:r>
            <w:proofErr w:type="spellStart"/>
            <w:r w:rsidRPr="00756A10">
              <w:rPr>
                <w:rFonts w:ascii="Arial" w:hAnsi="Arial" w:cs="Arial"/>
                <w:i/>
                <w:color w:val="000000"/>
                <w:sz w:val="22"/>
                <w:szCs w:val="22"/>
              </w:rPr>
              <w:t>novus</w:t>
            </w:r>
            <w:proofErr w:type="spellEnd"/>
            <w:r w:rsidRPr="00756A1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actus </w:t>
            </w:r>
            <w:proofErr w:type="spellStart"/>
            <w:r w:rsidRPr="00756A10">
              <w:rPr>
                <w:rFonts w:ascii="Arial" w:hAnsi="Arial" w:cs="Arial"/>
                <w:i/>
                <w:color w:val="000000"/>
                <w:sz w:val="22"/>
                <w:szCs w:val="22"/>
              </w:rPr>
              <w:t>intervenien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s</w:t>
            </w:r>
            <w:proofErr w:type="spellEnd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en ce qui a trait aux dommages qui auraient </w:t>
            </w:r>
            <w:r w:rsidR="003F296D">
              <w:rPr>
                <w:rFonts w:ascii="Arial" w:hAnsi="Arial" w:cs="Arial"/>
                <w:color w:val="000000"/>
                <w:sz w:val="22"/>
                <w:szCs w:val="22"/>
              </w:rPr>
              <w:t xml:space="preserve">ainsi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pu être évités?</w:t>
            </w:r>
          </w:p>
        </w:tc>
      </w:tr>
      <w:tr w:rsidR="00D22ADC" w:rsidRPr="00B33EEE" w14:paraId="6C0A4CC2" w14:textId="77777777" w:rsidTr="00D22ADC">
        <w:trPr>
          <w:trHeight w:val="756"/>
        </w:trPr>
        <w:tc>
          <w:tcPr>
            <w:tcW w:w="9540" w:type="dxa"/>
          </w:tcPr>
          <w:p w14:paraId="6C0A4CC1" w14:textId="77777777" w:rsidR="00D22ADC" w:rsidRPr="006E67A3" w:rsidRDefault="005E69A9" w:rsidP="005E69A9">
            <w:pPr>
              <w:numPr>
                <w:ilvl w:val="0"/>
                <w:numId w:val="3"/>
              </w:num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 w:hanging="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Quel</w:t>
            </w:r>
            <w:r w:rsidR="00756A10">
              <w:rPr>
                <w:rFonts w:ascii="Arial" w:hAnsi="Arial" w:cs="Arial"/>
                <w:color w:val="000000"/>
                <w:sz w:val="22"/>
                <w:szCs w:val="22"/>
              </w:rPr>
              <w:t xml:space="preserve"> est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le montant</w:t>
            </w:r>
            <w:r w:rsidR="00756A10">
              <w:rPr>
                <w:rFonts w:ascii="Arial" w:hAnsi="Arial" w:cs="Arial"/>
                <w:color w:val="000000"/>
                <w:sz w:val="22"/>
                <w:szCs w:val="22"/>
              </w:rPr>
              <w:t xml:space="preserve"> des dommages subis par </w:t>
            </w:r>
            <w:r w:rsidR="003C0330">
              <w:rPr>
                <w:rFonts w:ascii="Arial" w:hAnsi="Arial" w:cs="Arial"/>
                <w:color w:val="000000"/>
                <w:sz w:val="22"/>
                <w:szCs w:val="22"/>
              </w:rPr>
              <w:t>l’assuré de la demanderesse</w:t>
            </w:r>
            <w:r w:rsidR="00756A10">
              <w:rPr>
                <w:rFonts w:ascii="Arial" w:hAnsi="Arial" w:cs="Arial"/>
                <w:color w:val="000000"/>
                <w:sz w:val="22"/>
                <w:szCs w:val="22"/>
              </w:rPr>
              <w:t xml:space="preserve">? </w:t>
            </w:r>
            <w:r w:rsidR="002A0357">
              <w:rPr>
                <w:rFonts w:ascii="Arial" w:hAnsi="Arial" w:cs="Arial"/>
                <w:color w:val="000000"/>
                <w:sz w:val="22"/>
                <w:szCs w:val="22"/>
              </w:rPr>
              <w:t xml:space="preserve">Correspondent-ils </w:t>
            </w:r>
            <w:r w:rsidR="00150948">
              <w:rPr>
                <w:rFonts w:ascii="Arial" w:hAnsi="Arial" w:cs="Arial"/>
                <w:color w:val="000000"/>
                <w:sz w:val="22"/>
                <w:szCs w:val="22"/>
              </w:rPr>
              <w:t xml:space="preserve">au coût des travaux de reconstruction de la bâtisse </w:t>
            </w:r>
            <w:r w:rsidR="008F0B7B">
              <w:rPr>
                <w:rFonts w:ascii="Arial" w:hAnsi="Arial" w:cs="Arial"/>
                <w:color w:val="000000"/>
                <w:sz w:val="22"/>
                <w:szCs w:val="22"/>
              </w:rPr>
              <w:t>réduit de la</w:t>
            </w:r>
            <w:r w:rsidR="00150948">
              <w:rPr>
                <w:rFonts w:ascii="Arial" w:hAnsi="Arial" w:cs="Arial"/>
                <w:color w:val="000000"/>
                <w:sz w:val="22"/>
                <w:szCs w:val="22"/>
              </w:rPr>
              <w:t xml:space="preserve"> dépréciation</w:t>
            </w:r>
            <w:r w:rsidR="003E17F6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A929AE">
              <w:rPr>
                <w:rFonts w:ascii="Arial" w:hAnsi="Arial" w:cs="Arial"/>
                <w:color w:val="000000"/>
                <w:sz w:val="22"/>
                <w:szCs w:val="22"/>
              </w:rPr>
              <w:t xml:space="preserve"> ou</w:t>
            </w:r>
            <w:r w:rsidR="003E17F6">
              <w:rPr>
                <w:rFonts w:ascii="Arial" w:hAnsi="Arial" w:cs="Arial"/>
                <w:color w:val="000000"/>
                <w:sz w:val="22"/>
                <w:szCs w:val="22"/>
              </w:rPr>
              <w:t xml:space="preserve"> plutôt</w:t>
            </w:r>
            <w:r w:rsidR="00A929AE">
              <w:rPr>
                <w:rFonts w:ascii="Arial" w:hAnsi="Arial" w:cs="Arial"/>
                <w:color w:val="000000"/>
                <w:sz w:val="22"/>
                <w:szCs w:val="22"/>
              </w:rPr>
              <w:t xml:space="preserve"> à sa valeur marchande qui est bien moindre</w:t>
            </w:r>
            <w:r w:rsidR="002A0357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</w:tr>
      <w:tr w:rsidR="00D22ADC" w:rsidRPr="00B33EEE" w14:paraId="6C0A4CC4" w14:textId="77777777" w:rsidTr="00D22ADC">
        <w:trPr>
          <w:trHeight w:val="756"/>
        </w:trPr>
        <w:tc>
          <w:tcPr>
            <w:tcW w:w="9540" w:type="dxa"/>
          </w:tcPr>
          <w:p w14:paraId="6C0A4CC3" w14:textId="77777777" w:rsidR="00D22ADC" w:rsidRPr="006E67A3" w:rsidRDefault="008F0B7B" w:rsidP="003E17F6">
            <w:pPr>
              <w:numPr>
                <w:ilvl w:val="0"/>
                <w:numId w:val="3"/>
              </w:num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 w:hanging="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 cas échéant, l</w:t>
            </w:r>
            <w:r w:rsidR="00150948">
              <w:rPr>
                <w:rFonts w:ascii="Arial" w:hAnsi="Arial" w:cs="Arial"/>
                <w:color w:val="000000"/>
                <w:sz w:val="22"/>
                <w:szCs w:val="22"/>
              </w:rPr>
              <w:t xml:space="preserve">es intérêts et l’indemnité additionnelle doivent-ils commencer à courir à compter de la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mise </w:t>
            </w:r>
            <w:r w:rsidR="003E17F6">
              <w:rPr>
                <w:rFonts w:ascii="Arial" w:hAnsi="Arial" w:cs="Arial"/>
                <w:color w:val="000000"/>
                <w:sz w:val="22"/>
                <w:szCs w:val="22"/>
              </w:rPr>
              <w:t xml:space="preserve">demeure, </w:t>
            </w:r>
            <w:r w:rsidR="00150948">
              <w:rPr>
                <w:rFonts w:ascii="Arial" w:hAnsi="Arial" w:cs="Arial"/>
                <w:color w:val="000000"/>
                <w:sz w:val="22"/>
                <w:szCs w:val="22"/>
              </w:rPr>
              <w:t>ou plutôt du paiement</w:t>
            </w:r>
            <w:r w:rsidR="003E17F6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fait </w:t>
            </w:r>
            <w:r w:rsidR="003E17F6">
              <w:rPr>
                <w:rFonts w:ascii="Arial" w:hAnsi="Arial" w:cs="Arial"/>
                <w:color w:val="000000"/>
                <w:sz w:val="22"/>
                <w:szCs w:val="22"/>
              </w:rPr>
              <w:t xml:space="preserve">plus tard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à</w:t>
            </w:r>
            <w:r w:rsidR="00150948">
              <w:rPr>
                <w:rFonts w:ascii="Arial" w:hAnsi="Arial" w:cs="Arial"/>
                <w:color w:val="000000"/>
                <w:sz w:val="22"/>
                <w:szCs w:val="22"/>
              </w:rPr>
              <w:t xml:space="preserve"> l’entrepreneur général chargé de reconstruire la bâtisse?</w:t>
            </w:r>
          </w:p>
        </w:tc>
      </w:tr>
    </w:tbl>
    <w:p w14:paraId="6C0A4CC5" w14:textId="77777777" w:rsidR="003E17F6" w:rsidRDefault="003E17F6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D22ADC" w:rsidRPr="00B33EEE" w14:paraId="6C0A4CC7" w14:textId="77777777" w:rsidTr="00D22ADC">
        <w:tc>
          <w:tcPr>
            <w:tcW w:w="9540" w:type="dxa"/>
            <w:tcBorders>
              <w:bottom w:val="single" w:sz="4" w:space="0" w:color="auto"/>
            </w:tcBorders>
            <w:shd w:val="clear" w:color="auto" w:fill="E6E6E6"/>
          </w:tcPr>
          <w:p w14:paraId="6C0A4CC6" w14:textId="77777777" w:rsidR="00D22ADC" w:rsidRPr="006E67A3" w:rsidRDefault="00D22ADC" w:rsidP="00D22ADC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6E67A3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II</w:t>
            </w:r>
            <w:r w:rsidRPr="006E67A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L’EXPOSÉ DES FAITS CONTESTÉS</w:t>
            </w:r>
          </w:p>
        </w:tc>
      </w:tr>
      <w:tr w:rsidR="00D22ADC" w:rsidRPr="00B33EEE" w14:paraId="6C0A4CC9" w14:textId="77777777" w:rsidTr="00D22ADC"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14:paraId="6C0A4CC8" w14:textId="77777777" w:rsidR="00D22ADC" w:rsidRPr="006E67A3" w:rsidRDefault="00D22ADC" w:rsidP="00D22ADC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22ADC" w:rsidRPr="00B33EEE" w14:paraId="6C0A4CCB" w14:textId="77777777" w:rsidTr="00D22ADC">
        <w:tc>
          <w:tcPr>
            <w:tcW w:w="9540" w:type="dxa"/>
            <w:tcBorders>
              <w:bottom w:val="single" w:sz="4" w:space="0" w:color="auto"/>
            </w:tcBorders>
          </w:tcPr>
          <w:p w14:paraId="6C0A4CCA" w14:textId="77777777" w:rsidR="00D22ADC" w:rsidRPr="006E67A3" w:rsidRDefault="00D22ADC" w:rsidP="00D22ADC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Voici l’énoncé des principaux faits du litige faisant l’objet d’une contestation :</w:t>
            </w:r>
          </w:p>
        </w:tc>
      </w:tr>
      <w:tr w:rsidR="00D22ADC" w:rsidRPr="00B33EEE" w14:paraId="6C0A4CD2" w14:textId="77777777" w:rsidTr="00D22ADC">
        <w:trPr>
          <w:trHeight w:val="756"/>
        </w:trPr>
        <w:tc>
          <w:tcPr>
            <w:tcW w:w="9540" w:type="dxa"/>
          </w:tcPr>
          <w:p w14:paraId="6C0A4CCC" w14:textId="77777777" w:rsidR="00D22ADC" w:rsidRDefault="003E17F6" w:rsidP="00D22ADC">
            <w:pPr>
              <w:numPr>
                <w:ilvl w:val="0"/>
                <w:numId w:val="4"/>
              </w:num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 w:hanging="142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3E17F6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L’incidence du four à micro-ondes</w:t>
            </w:r>
            <w:r w:rsidR="004C4CB4" w:rsidRPr="004C4CB4"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</w:p>
          <w:p w14:paraId="6C0A4CCD" w14:textId="77777777" w:rsidR="003E17F6" w:rsidRPr="003E17F6" w:rsidRDefault="003E17F6" w:rsidP="003E17F6">
            <w:p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14:paraId="6C0A4CCE" w14:textId="77777777" w:rsidR="00D22ADC" w:rsidRDefault="00D22ADC" w:rsidP="00D22ADC">
            <w:p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a) en </w:t>
            </w:r>
            <w:r w:rsidRPr="008C6EF5">
              <w:rPr>
                <w:rFonts w:ascii="Arial" w:hAnsi="Arial" w:cs="Arial"/>
                <w:b/>
                <w:color w:val="000000"/>
                <w:sz w:val="22"/>
                <w:szCs w:val="22"/>
              </w:rPr>
              <w:t>demande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  <w:r w:rsidR="003C0330">
              <w:rPr>
                <w:rFonts w:ascii="Arial" w:hAnsi="Arial" w:cs="Arial"/>
                <w:color w:val="000000"/>
                <w:sz w:val="22"/>
                <w:szCs w:val="22"/>
              </w:rPr>
              <w:t xml:space="preserve"> la demande allègue que </w:t>
            </w:r>
            <w:r w:rsidR="001D6383">
              <w:rPr>
                <w:rFonts w:ascii="Arial" w:hAnsi="Arial" w:cs="Arial"/>
                <w:color w:val="000000"/>
                <w:sz w:val="22"/>
                <w:szCs w:val="22"/>
              </w:rPr>
              <w:t>l’incendie a pour cause une défectuosité du four à micro-ondes</w:t>
            </w:r>
            <w:r w:rsidR="0015094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1D6383">
              <w:rPr>
                <w:rFonts w:ascii="Arial" w:hAnsi="Arial" w:cs="Arial"/>
                <w:color w:val="000000"/>
                <w:sz w:val="22"/>
                <w:szCs w:val="22"/>
              </w:rPr>
              <w:t xml:space="preserve"> à preuve la coïncidence entre son comportement erratique </w:t>
            </w:r>
            <w:r w:rsidR="005F492E">
              <w:rPr>
                <w:rFonts w:ascii="Arial" w:hAnsi="Arial" w:cs="Arial"/>
                <w:color w:val="000000"/>
                <w:sz w:val="22"/>
                <w:szCs w:val="22"/>
              </w:rPr>
              <w:t>et l’apparition des premièr</w:t>
            </w:r>
            <w:r w:rsidR="00DD6076">
              <w:rPr>
                <w:rFonts w:ascii="Arial" w:hAnsi="Arial" w:cs="Arial"/>
                <w:color w:val="000000"/>
                <w:sz w:val="22"/>
                <w:szCs w:val="22"/>
              </w:rPr>
              <w:t>es manifestations de l’incendie.</w:t>
            </w:r>
          </w:p>
          <w:p w14:paraId="6C0A4CCF" w14:textId="77777777" w:rsidR="00D22ADC" w:rsidRDefault="00D22ADC" w:rsidP="00D22ADC">
            <w:p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0A4CD0" w14:textId="77777777" w:rsidR="00D22ADC" w:rsidRDefault="00D22ADC" w:rsidP="00D22ADC">
            <w:p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b) en </w:t>
            </w:r>
            <w:r w:rsidRPr="008C6EF5">
              <w:rPr>
                <w:rFonts w:ascii="Arial" w:hAnsi="Arial" w:cs="Arial"/>
                <w:b/>
                <w:color w:val="000000"/>
                <w:sz w:val="22"/>
                <w:szCs w:val="22"/>
              </w:rPr>
              <w:t>défense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  <w:r w:rsidR="003C033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D6383">
              <w:rPr>
                <w:rFonts w:ascii="Arial" w:hAnsi="Arial" w:cs="Arial"/>
                <w:color w:val="000000"/>
                <w:sz w:val="22"/>
                <w:szCs w:val="22"/>
              </w:rPr>
              <w:t xml:space="preserve">le fabricant </w:t>
            </w:r>
            <w:r w:rsidR="003F296D">
              <w:rPr>
                <w:rFonts w:ascii="Arial" w:hAnsi="Arial" w:cs="Arial"/>
                <w:color w:val="000000"/>
                <w:sz w:val="22"/>
                <w:szCs w:val="22"/>
              </w:rPr>
              <w:t>du</w:t>
            </w:r>
            <w:r w:rsidR="008F0B7B">
              <w:rPr>
                <w:rFonts w:ascii="Arial" w:hAnsi="Arial" w:cs="Arial"/>
                <w:color w:val="000000"/>
                <w:sz w:val="22"/>
                <w:szCs w:val="22"/>
              </w:rPr>
              <w:t xml:space="preserve"> four</w:t>
            </w:r>
            <w:r w:rsidR="001D6383">
              <w:rPr>
                <w:rFonts w:ascii="Arial" w:hAnsi="Arial" w:cs="Arial"/>
                <w:color w:val="000000"/>
                <w:sz w:val="22"/>
                <w:szCs w:val="22"/>
              </w:rPr>
              <w:t xml:space="preserve"> conteste cette thèse. L’expert mandaté par l’assureur </w:t>
            </w:r>
            <w:r w:rsidR="008F0B7B">
              <w:rPr>
                <w:rFonts w:ascii="Arial" w:hAnsi="Arial" w:cs="Arial"/>
                <w:color w:val="000000"/>
                <w:sz w:val="22"/>
                <w:szCs w:val="22"/>
              </w:rPr>
              <w:t>n’a pu</w:t>
            </w:r>
            <w:r w:rsidR="001D6383">
              <w:rPr>
                <w:rFonts w:ascii="Arial" w:hAnsi="Arial" w:cs="Arial"/>
                <w:color w:val="000000"/>
                <w:sz w:val="22"/>
                <w:szCs w:val="22"/>
              </w:rPr>
              <w:t xml:space="preserve"> identifier</w:t>
            </w:r>
            <w:r w:rsidR="005F49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F0B7B">
              <w:rPr>
                <w:rFonts w:ascii="Arial" w:hAnsi="Arial" w:cs="Arial"/>
                <w:color w:val="000000"/>
                <w:sz w:val="22"/>
                <w:szCs w:val="22"/>
              </w:rPr>
              <w:t>une quelconque</w:t>
            </w:r>
            <w:r w:rsidR="001D6383">
              <w:rPr>
                <w:rFonts w:ascii="Arial" w:hAnsi="Arial" w:cs="Arial"/>
                <w:color w:val="000000"/>
                <w:sz w:val="22"/>
                <w:szCs w:val="22"/>
              </w:rPr>
              <w:t xml:space="preserve"> défectuosité dans </w:t>
            </w:r>
            <w:r w:rsidR="00DD6076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="008F0B7B">
              <w:rPr>
                <w:rFonts w:ascii="Arial" w:hAnsi="Arial" w:cs="Arial"/>
                <w:color w:val="000000"/>
                <w:sz w:val="22"/>
                <w:szCs w:val="22"/>
              </w:rPr>
              <w:t>es débris</w:t>
            </w:r>
            <w:r w:rsidR="001D638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D6076">
              <w:rPr>
                <w:rFonts w:ascii="Arial" w:hAnsi="Arial" w:cs="Arial"/>
                <w:color w:val="000000"/>
                <w:sz w:val="22"/>
                <w:szCs w:val="22"/>
              </w:rPr>
              <w:t xml:space="preserve">du four </w:t>
            </w:r>
            <w:r w:rsidR="001D6383">
              <w:rPr>
                <w:rFonts w:ascii="Arial" w:hAnsi="Arial" w:cs="Arial"/>
                <w:color w:val="000000"/>
                <w:sz w:val="22"/>
                <w:szCs w:val="22"/>
              </w:rPr>
              <w:t xml:space="preserve">outre </w:t>
            </w:r>
            <w:r w:rsidR="008F0B7B">
              <w:rPr>
                <w:rFonts w:ascii="Arial" w:hAnsi="Arial" w:cs="Arial"/>
                <w:color w:val="000000"/>
                <w:sz w:val="22"/>
                <w:szCs w:val="22"/>
              </w:rPr>
              <w:t>la présence d’</w:t>
            </w:r>
            <w:r w:rsidR="001D6383">
              <w:rPr>
                <w:rFonts w:ascii="Arial" w:hAnsi="Arial" w:cs="Arial"/>
                <w:color w:val="000000"/>
                <w:sz w:val="22"/>
                <w:szCs w:val="22"/>
              </w:rPr>
              <w:t xml:space="preserve">un arc électrique </w:t>
            </w:r>
            <w:r w:rsidR="00150948">
              <w:rPr>
                <w:rFonts w:ascii="Arial" w:hAnsi="Arial" w:cs="Arial"/>
                <w:color w:val="000000"/>
                <w:sz w:val="22"/>
                <w:szCs w:val="22"/>
              </w:rPr>
              <w:t>sur l’un de ses fils</w:t>
            </w:r>
            <w:r w:rsidR="008F0B7B">
              <w:rPr>
                <w:rFonts w:ascii="Arial" w:hAnsi="Arial" w:cs="Arial"/>
                <w:color w:val="000000"/>
                <w:sz w:val="22"/>
                <w:szCs w:val="22"/>
              </w:rPr>
              <w:t>. Or, cet arc</w:t>
            </w:r>
            <w:r w:rsidR="001D6383">
              <w:rPr>
                <w:rFonts w:ascii="Arial" w:hAnsi="Arial" w:cs="Arial"/>
                <w:color w:val="000000"/>
                <w:sz w:val="22"/>
                <w:szCs w:val="22"/>
              </w:rPr>
              <w:t xml:space="preserve"> peut être </w:t>
            </w:r>
            <w:r w:rsidR="008F0B7B">
              <w:rPr>
                <w:rFonts w:ascii="Arial" w:hAnsi="Arial" w:cs="Arial"/>
                <w:color w:val="000000"/>
                <w:sz w:val="22"/>
                <w:szCs w:val="22"/>
              </w:rPr>
              <w:t xml:space="preserve">autant </w:t>
            </w:r>
            <w:r w:rsidR="001D6383">
              <w:rPr>
                <w:rFonts w:ascii="Arial" w:hAnsi="Arial" w:cs="Arial"/>
                <w:color w:val="000000"/>
                <w:sz w:val="22"/>
                <w:szCs w:val="22"/>
              </w:rPr>
              <w:t xml:space="preserve">la cause </w:t>
            </w:r>
            <w:r w:rsidR="008F0B7B">
              <w:rPr>
                <w:rFonts w:ascii="Arial" w:hAnsi="Arial" w:cs="Arial"/>
                <w:color w:val="000000"/>
                <w:sz w:val="22"/>
                <w:szCs w:val="22"/>
              </w:rPr>
              <w:t>de l’incendie que s</w:t>
            </w:r>
            <w:r w:rsidR="001D6383">
              <w:rPr>
                <w:rFonts w:ascii="Arial" w:hAnsi="Arial" w:cs="Arial"/>
                <w:color w:val="000000"/>
                <w:sz w:val="22"/>
                <w:szCs w:val="22"/>
              </w:rPr>
              <w:t>a conséquence.</w:t>
            </w:r>
            <w:r w:rsidR="005F492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plus, l’occupant de l’appartement 304 ne peut dire si les premières manifestations de l’incendie émanent </w:t>
            </w:r>
            <w:r w:rsidR="00494D66">
              <w:rPr>
                <w:rFonts w:ascii="Arial" w:hAnsi="Arial" w:cs="Arial"/>
                <w:color w:val="000000"/>
                <w:sz w:val="22"/>
                <w:szCs w:val="22"/>
              </w:rPr>
              <w:t xml:space="preserve">ou non </w:t>
            </w:r>
            <w:r w:rsidR="005F492E">
              <w:rPr>
                <w:rFonts w:ascii="Arial" w:hAnsi="Arial" w:cs="Arial"/>
                <w:color w:val="000000"/>
                <w:sz w:val="22"/>
                <w:szCs w:val="22"/>
              </w:rPr>
              <w:t>du four à micro-ondes</w:t>
            </w:r>
            <w:r w:rsidR="004C4CB4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5F492E">
              <w:rPr>
                <w:rFonts w:ascii="Arial" w:hAnsi="Arial" w:cs="Arial"/>
                <w:color w:val="000000"/>
                <w:sz w:val="22"/>
                <w:szCs w:val="22"/>
              </w:rPr>
              <w:t xml:space="preserve"> puisqu’il </w:t>
            </w:r>
            <w:r w:rsidR="001121CA">
              <w:rPr>
                <w:rFonts w:ascii="Arial" w:hAnsi="Arial" w:cs="Arial"/>
                <w:color w:val="000000"/>
                <w:sz w:val="22"/>
                <w:szCs w:val="22"/>
              </w:rPr>
              <w:t xml:space="preserve">n’est pas retourné dans la cuisine avant de </w:t>
            </w:r>
            <w:r w:rsidR="003F296D">
              <w:rPr>
                <w:rFonts w:ascii="Arial" w:hAnsi="Arial" w:cs="Arial"/>
                <w:color w:val="000000"/>
                <w:sz w:val="22"/>
                <w:szCs w:val="22"/>
              </w:rPr>
              <w:t>quitter son appartement</w:t>
            </w:r>
            <w:r w:rsidR="005F492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C0A4CD1" w14:textId="77777777" w:rsidR="00D22ADC" w:rsidRPr="00D22ADC" w:rsidRDefault="00D22ADC" w:rsidP="00D22ADC">
            <w:p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22ADC" w:rsidRPr="00B33EEE" w14:paraId="6C0A4CD8" w14:textId="77777777" w:rsidTr="00D22ADC">
        <w:trPr>
          <w:trHeight w:val="756"/>
        </w:trPr>
        <w:tc>
          <w:tcPr>
            <w:tcW w:w="9540" w:type="dxa"/>
          </w:tcPr>
          <w:p w14:paraId="6C0A4CD3" w14:textId="77777777" w:rsidR="00D22ADC" w:rsidRDefault="003E17F6" w:rsidP="00D22ADC">
            <w:pPr>
              <w:numPr>
                <w:ilvl w:val="0"/>
                <w:numId w:val="4"/>
              </w:num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 w:hanging="142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3E17F6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L’incidence du système électrique du bâtiment</w:t>
            </w:r>
            <w:r w:rsidR="004C4CB4" w:rsidRPr="004C4CB4"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</w:p>
          <w:p w14:paraId="6C0A4CD4" w14:textId="77777777" w:rsidR="003E17F6" w:rsidRPr="003E17F6" w:rsidRDefault="003E17F6" w:rsidP="003E17F6">
            <w:p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14:paraId="6C0A4CD5" w14:textId="77777777" w:rsidR="00D22ADC" w:rsidRDefault="00D22ADC" w:rsidP="00D22ADC">
            <w:p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a) en </w:t>
            </w:r>
            <w:r w:rsidRPr="008C6EF5">
              <w:rPr>
                <w:rFonts w:ascii="Arial" w:hAnsi="Arial" w:cs="Arial"/>
                <w:b/>
                <w:color w:val="000000"/>
                <w:sz w:val="22"/>
                <w:szCs w:val="22"/>
              </w:rPr>
              <w:t>demande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  <w:r w:rsidR="005F492E">
              <w:rPr>
                <w:rFonts w:ascii="Arial" w:hAnsi="Arial" w:cs="Arial"/>
                <w:color w:val="000000"/>
                <w:sz w:val="22"/>
                <w:szCs w:val="22"/>
              </w:rPr>
              <w:t xml:space="preserve"> l’assureur de l’immeuble nie que </w:t>
            </w:r>
            <w:r w:rsidR="001121CA">
              <w:rPr>
                <w:rFonts w:ascii="Arial" w:hAnsi="Arial" w:cs="Arial"/>
                <w:color w:val="000000"/>
                <w:sz w:val="22"/>
                <w:szCs w:val="22"/>
              </w:rPr>
              <w:t>l’incendie soit attribuable au mauvais fonctionne</w:t>
            </w:r>
            <w:r w:rsidR="003E17F6">
              <w:rPr>
                <w:rFonts w:ascii="Arial" w:hAnsi="Arial" w:cs="Arial"/>
                <w:color w:val="000000"/>
                <w:sz w:val="22"/>
                <w:szCs w:val="22"/>
              </w:rPr>
              <w:t>me</w:t>
            </w:r>
            <w:r w:rsidR="001121CA">
              <w:rPr>
                <w:rFonts w:ascii="Arial" w:hAnsi="Arial" w:cs="Arial"/>
                <w:color w:val="000000"/>
                <w:sz w:val="22"/>
                <w:szCs w:val="22"/>
              </w:rPr>
              <w:t>nt de son</w:t>
            </w:r>
            <w:r w:rsidR="005F492E">
              <w:rPr>
                <w:rFonts w:ascii="Arial" w:hAnsi="Arial" w:cs="Arial"/>
                <w:color w:val="000000"/>
                <w:sz w:val="22"/>
                <w:szCs w:val="22"/>
              </w:rPr>
              <w:t xml:space="preserve"> système électrique. </w:t>
            </w:r>
            <w:r w:rsidR="00494D66">
              <w:rPr>
                <w:rFonts w:ascii="Arial" w:hAnsi="Arial" w:cs="Arial"/>
                <w:color w:val="000000"/>
                <w:sz w:val="22"/>
                <w:szCs w:val="22"/>
              </w:rPr>
              <w:t>C’est</w:t>
            </w:r>
            <w:r w:rsidR="005F492E">
              <w:rPr>
                <w:rFonts w:ascii="Arial" w:hAnsi="Arial" w:cs="Arial"/>
                <w:color w:val="000000"/>
                <w:sz w:val="22"/>
                <w:szCs w:val="22"/>
              </w:rPr>
              <w:t xml:space="preserve"> dans l’appartement 304</w:t>
            </w:r>
            <w:r w:rsidR="003E17F6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="001121CA">
              <w:rPr>
                <w:rFonts w:ascii="Arial" w:hAnsi="Arial" w:cs="Arial"/>
                <w:color w:val="000000"/>
                <w:sz w:val="22"/>
                <w:szCs w:val="22"/>
              </w:rPr>
              <w:t xml:space="preserve">et non ailleurs </w:t>
            </w:r>
            <w:r w:rsidR="00D73775">
              <w:rPr>
                <w:rFonts w:ascii="Arial" w:hAnsi="Arial" w:cs="Arial"/>
                <w:color w:val="000000"/>
                <w:sz w:val="22"/>
                <w:szCs w:val="22"/>
              </w:rPr>
              <w:t>dans l’immeuble</w:t>
            </w:r>
            <w:r w:rsidR="003E17F6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="005F492E">
              <w:rPr>
                <w:rFonts w:ascii="Arial" w:hAnsi="Arial" w:cs="Arial"/>
                <w:color w:val="000000"/>
                <w:sz w:val="22"/>
                <w:szCs w:val="22"/>
              </w:rPr>
              <w:t xml:space="preserve">que </w:t>
            </w:r>
            <w:r w:rsidR="001121CA">
              <w:rPr>
                <w:rFonts w:ascii="Arial" w:hAnsi="Arial" w:cs="Arial"/>
                <w:color w:val="000000"/>
                <w:sz w:val="22"/>
                <w:szCs w:val="22"/>
              </w:rPr>
              <w:t>cet incendie</w:t>
            </w:r>
            <w:r w:rsidR="005F492E">
              <w:rPr>
                <w:rFonts w:ascii="Arial" w:hAnsi="Arial" w:cs="Arial"/>
                <w:color w:val="000000"/>
                <w:sz w:val="22"/>
                <w:szCs w:val="22"/>
              </w:rPr>
              <w:t xml:space="preserve"> s’est déclaré, peu de temps après </w:t>
            </w:r>
            <w:r w:rsidR="00494D66">
              <w:rPr>
                <w:rFonts w:ascii="Arial" w:hAnsi="Arial" w:cs="Arial"/>
                <w:color w:val="000000"/>
                <w:sz w:val="22"/>
                <w:szCs w:val="22"/>
              </w:rPr>
              <w:t>le mauvais</w:t>
            </w:r>
            <w:r w:rsidR="005F492E">
              <w:rPr>
                <w:rFonts w:ascii="Arial" w:hAnsi="Arial" w:cs="Arial"/>
                <w:color w:val="000000"/>
                <w:sz w:val="22"/>
                <w:szCs w:val="22"/>
              </w:rPr>
              <w:t xml:space="preserve"> fonctionnement du four à micro-ondes.</w:t>
            </w:r>
          </w:p>
          <w:p w14:paraId="6C0A4CD6" w14:textId="77777777" w:rsidR="003E17F6" w:rsidRDefault="003E17F6" w:rsidP="00D22ADC">
            <w:p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0A4CD7" w14:textId="77777777" w:rsidR="003E17F6" w:rsidRPr="006E67A3" w:rsidRDefault="00D22ADC" w:rsidP="004C4CB4">
            <w:p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b) en </w:t>
            </w:r>
            <w:r w:rsidRPr="008C6EF5">
              <w:rPr>
                <w:rFonts w:ascii="Arial" w:hAnsi="Arial" w:cs="Arial"/>
                <w:b/>
                <w:color w:val="000000"/>
                <w:sz w:val="22"/>
                <w:szCs w:val="22"/>
              </w:rPr>
              <w:t>défense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  <w:r w:rsidR="001D6383">
              <w:rPr>
                <w:rFonts w:ascii="Arial" w:hAnsi="Arial" w:cs="Arial"/>
                <w:color w:val="000000"/>
                <w:sz w:val="22"/>
                <w:szCs w:val="22"/>
              </w:rPr>
              <w:t xml:space="preserve"> le fabricant </w:t>
            </w:r>
            <w:r w:rsidR="001121CA">
              <w:rPr>
                <w:rFonts w:ascii="Arial" w:hAnsi="Arial" w:cs="Arial"/>
                <w:color w:val="000000"/>
                <w:sz w:val="22"/>
                <w:szCs w:val="22"/>
              </w:rPr>
              <w:t xml:space="preserve">du four à micro-ondes </w:t>
            </w:r>
            <w:r w:rsidR="001D6383">
              <w:rPr>
                <w:rFonts w:ascii="Arial" w:hAnsi="Arial" w:cs="Arial"/>
                <w:color w:val="000000"/>
                <w:sz w:val="22"/>
                <w:szCs w:val="22"/>
              </w:rPr>
              <w:t>allègue que la cause probable de</w:t>
            </w:r>
            <w:r w:rsidR="004C4C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1D6383">
              <w:rPr>
                <w:rFonts w:ascii="Arial" w:hAnsi="Arial" w:cs="Arial"/>
                <w:color w:val="000000"/>
                <w:sz w:val="22"/>
                <w:szCs w:val="22"/>
              </w:rPr>
              <w:t xml:space="preserve">l’incendie est plutôt </w:t>
            </w:r>
            <w:r w:rsidR="001121CA">
              <w:rPr>
                <w:rFonts w:ascii="Arial" w:hAnsi="Arial" w:cs="Arial"/>
                <w:color w:val="000000"/>
                <w:sz w:val="22"/>
                <w:szCs w:val="22"/>
              </w:rPr>
              <w:t xml:space="preserve">la </w:t>
            </w:r>
            <w:r w:rsidR="001D6383">
              <w:rPr>
                <w:rFonts w:ascii="Arial" w:hAnsi="Arial" w:cs="Arial"/>
                <w:color w:val="000000"/>
                <w:sz w:val="22"/>
                <w:szCs w:val="22"/>
              </w:rPr>
              <w:t>défectuosité</w:t>
            </w:r>
            <w:r w:rsidR="005F492E">
              <w:rPr>
                <w:rFonts w:ascii="Arial" w:hAnsi="Arial" w:cs="Arial"/>
                <w:color w:val="000000"/>
                <w:sz w:val="22"/>
                <w:szCs w:val="22"/>
              </w:rPr>
              <w:t xml:space="preserve"> du système électrique de l’immeuble. Des variations d’intensité du courant </w:t>
            </w:r>
            <w:r w:rsidR="00A929AE">
              <w:rPr>
                <w:rFonts w:ascii="Arial" w:hAnsi="Arial" w:cs="Arial"/>
                <w:color w:val="000000"/>
                <w:sz w:val="22"/>
                <w:szCs w:val="22"/>
              </w:rPr>
              <w:t xml:space="preserve">et </w:t>
            </w:r>
            <w:r w:rsidR="005F492E">
              <w:rPr>
                <w:rFonts w:ascii="Arial" w:hAnsi="Arial" w:cs="Arial"/>
                <w:color w:val="000000"/>
                <w:sz w:val="22"/>
                <w:szCs w:val="22"/>
              </w:rPr>
              <w:t>le déclenchement répété de disjoncteurs sont les signes avant</w:t>
            </w:r>
            <w:r w:rsidR="004C4CB4">
              <w:rPr>
                <w:rFonts w:ascii="Arial" w:hAnsi="Arial" w:cs="Arial"/>
                <w:color w:val="000000"/>
                <w:sz w:val="22"/>
                <w:szCs w:val="22"/>
              </w:rPr>
              <w:noBreakHyphen/>
            </w:r>
            <w:r w:rsidR="005F492E">
              <w:rPr>
                <w:rFonts w:ascii="Arial" w:hAnsi="Arial" w:cs="Arial"/>
                <w:color w:val="000000"/>
                <w:sz w:val="22"/>
                <w:szCs w:val="22"/>
              </w:rPr>
              <w:t xml:space="preserve">coureurs </w:t>
            </w:r>
            <w:r w:rsidR="00D73775">
              <w:rPr>
                <w:rFonts w:ascii="Arial" w:hAnsi="Arial" w:cs="Arial"/>
                <w:color w:val="000000"/>
                <w:sz w:val="22"/>
                <w:szCs w:val="22"/>
              </w:rPr>
              <w:t>d’une défaillance</w:t>
            </w:r>
            <w:r w:rsidR="005F492E">
              <w:rPr>
                <w:rFonts w:ascii="Arial" w:hAnsi="Arial" w:cs="Arial"/>
                <w:color w:val="000000"/>
                <w:sz w:val="22"/>
                <w:szCs w:val="22"/>
              </w:rPr>
              <w:t xml:space="preserve"> électrique</w:t>
            </w:r>
            <w:r w:rsidR="003F296D">
              <w:rPr>
                <w:rFonts w:ascii="Arial" w:hAnsi="Arial" w:cs="Arial"/>
                <w:color w:val="000000"/>
                <w:sz w:val="22"/>
                <w:szCs w:val="22"/>
              </w:rPr>
              <w:t xml:space="preserve"> susceptible de provoquer un incendie</w:t>
            </w:r>
            <w:r w:rsidR="005F492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  <w:tr w:rsidR="00D22ADC" w:rsidRPr="00B33EEE" w14:paraId="6C0A4CE1" w14:textId="77777777" w:rsidTr="00D22ADC">
        <w:trPr>
          <w:trHeight w:val="756"/>
        </w:trPr>
        <w:tc>
          <w:tcPr>
            <w:tcW w:w="9540" w:type="dxa"/>
          </w:tcPr>
          <w:p w14:paraId="6C0A4CD9" w14:textId="77777777" w:rsidR="00D22ADC" w:rsidRPr="003E17F6" w:rsidRDefault="003E17F6" w:rsidP="00D22ADC">
            <w:pPr>
              <w:numPr>
                <w:ilvl w:val="0"/>
                <w:numId w:val="4"/>
              </w:num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 w:hanging="142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3E17F6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lastRenderedPageBreak/>
              <w:t>Les dommages auxquels pourrait avoir droit l’assureur</w:t>
            </w:r>
            <w:r w:rsidR="004C4CB4" w:rsidRPr="004C4CB4"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</w:p>
          <w:p w14:paraId="6C0A4CDA" w14:textId="77777777" w:rsidR="003E17F6" w:rsidRDefault="003E17F6" w:rsidP="003E17F6">
            <w:p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0A4CDB" w14:textId="64F5254D" w:rsidR="00500E90" w:rsidRDefault="00500E90" w:rsidP="00500E90">
            <w:p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a) en </w:t>
            </w:r>
            <w:r w:rsidRPr="008C6EF5">
              <w:rPr>
                <w:rFonts w:ascii="Arial" w:hAnsi="Arial" w:cs="Arial"/>
                <w:b/>
                <w:color w:val="000000"/>
                <w:sz w:val="22"/>
                <w:szCs w:val="22"/>
              </w:rPr>
              <w:t>demande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  <w:r w:rsidR="005F492E">
              <w:rPr>
                <w:rFonts w:ascii="Arial" w:hAnsi="Arial" w:cs="Arial"/>
                <w:color w:val="000000"/>
                <w:sz w:val="22"/>
                <w:szCs w:val="22"/>
              </w:rPr>
              <w:t xml:space="preserve"> l’assureur </w:t>
            </w:r>
            <w:r w:rsidR="00D73775">
              <w:rPr>
                <w:rFonts w:ascii="Arial" w:hAnsi="Arial" w:cs="Arial"/>
                <w:color w:val="000000"/>
                <w:sz w:val="22"/>
                <w:szCs w:val="22"/>
              </w:rPr>
              <w:t>concède</w:t>
            </w:r>
            <w:r w:rsidR="005F492E">
              <w:rPr>
                <w:rFonts w:ascii="Arial" w:hAnsi="Arial" w:cs="Arial"/>
                <w:color w:val="000000"/>
                <w:sz w:val="22"/>
                <w:szCs w:val="22"/>
              </w:rPr>
              <w:t xml:space="preserve"> que les véritables dommages subis par son assuré correspondent non pas à l’indemnité qu</w:t>
            </w:r>
            <w:r w:rsidR="001121CA">
              <w:rPr>
                <w:rFonts w:ascii="Arial" w:hAnsi="Arial" w:cs="Arial"/>
                <w:color w:val="000000"/>
                <w:sz w:val="22"/>
                <w:szCs w:val="22"/>
              </w:rPr>
              <w:t>’il lui a versée</w:t>
            </w:r>
            <w:r w:rsidR="0027722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1121CA">
              <w:rPr>
                <w:rFonts w:ascii="Arial" w:hAnsi="Arial" w:cs="Arial"/>
                <w:color w:val="000000"/>
                <w:sz w:val="22"/>
                <w:szCs w:val="22"/>
              </w:rPr>
              <w:t xml:space="preserve"> mais plutôt au coût</w:t>
            </w:r>
            <w:r w:rsidR="005F492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reconstruction de l’immeuble</w:t>
            </w:r>
            <w:r w:rsidR="003E17F6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5F492E">
              <w:rPr>
                <w:rFonts w:ascii="Arial" w:hAnsi="Arial" w:cs="Arial"/>
                <w:color w:val="000000"/>
                <w:sz w:val="22"/>
                <w:szCs w:val="22"/>
              </w:rPr>
              <w:t xml:space="preserve"> après la prise en compte d’un </w:t>
            </w:r>
            <w:r w:rsidR="001121CA">
              <w:rPr>
                <w:rFonts w:ascii="Arial" w:hAnsi="Arial" w:cs="Arial"/>
                <w:color w:val="000000"/>
                <w:sz w:val="22"/>
                <w:szCs w:val="22"/>
              </w:rPr>
              <w:t>pourcentage</w:t>
            </w:r>
            <w:r w:rsidR="005F492E">
              <w:rPr>
                <w:rFonts w:ascii="Arial" w:hAnsi="Arial" w:cs="Arial"/>
                <w:color w:val="000000"/>
                <w:sz w:val="22"/>
                <w:szCs w:val="22"/>
              </w:rPr>
              <w:t xml:space="preserve"> de dépréciation.</w:t>
            </w:r>
            <w:r w:rsidR="00D73775">
              <w:rPr>
                <w:rFonts w:ascii="Arial" w:hAnsi="Arial" w:cs="Arial"/>
                <w:color w:val="000000"/>
                <w:sz w:val="22"/>
                <w:szCs w:val="22"/>
              </w:rPr>
              <w:t xml:space="preserve"> La valeur marchande n’est pas pertinente. Ce n’est pas une valeur qu’il a assuré</w:t>
            </w:r>
            <w:r w:rsidR="003E17F6">
              <w:rPr>
                <w:rFonts w:ascii="Arial" w:hAnsi="Arial" w:cs="Arial"/>
                <w:color w:val="000000"/>
                <w:sz w:val="22"/>
                <w:szCs w:val="22"/>
              </w:rPr>
              <w:t>e,</w:t>
            </w:r>
            <w:r w:rsidR="00D73775">
              <w:rPr>
                <w:rFonts w:ascii="Arial" w:hAnsi="Arial" w:cs="Arial"/>
                <w:color w:val="000000"/>
                <w:sz w:val="22"/>
                <w:szCs w:val="22"/>
              </w:rPr>
              <w:t xml:space="preserve"> mais plutôt une bâtisse.</w:t>
            </w:r>
          </w:p>
          <w:p w14:paraId="6C0A4CDC" w14:textId="77777777" w:rsidR="00500E90" w:rsidRDefault="00500E90" w:rsidP="00500E90">
            <w:p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0A4CDD" w14:textId="77777777" w:rsidR="003E17F6" w:rsidRDefault="00500E90" w:rsidP="003E17F6">
            <w:p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b) en </w:t>
            </w:r>
            <w:r w:rsidRPr="008C6EF5">
              <w:rPr>
                <w:rFonts w:ascii="Arial" w:hAnsi="Arial" w:cs="Arial"/>
                <w:b/>
                <w:color w:val="000000"/>
                <w:sz w:val="22"/>
                <w:szCs w:val="22"/>
              </w:rPr>
              <w:t>défense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  <w:r w:rsidR="005F492E">
              <w:rPr>
                <w:rFonts w:ascii="Arial" w:hAnsi="Arial" w:cs="Arial"/>
                <w:color w:val="000000"/>
                <w:sz w:val="22"/>
                <w:szCs w:val="22"/>
              </w:rPr>
              <w:t xml:space="preserve"> le fabricant du four à micro-ondes </w:t>
            </w:r>
            <w:r w:rsidR="00A929AE">
              <w:rPr>
                <w:rFonts w:ascii="Arial" w:hAnsi="Arial" w:cs="Arial"/>
                <w:color w:val="000000"/>
                <w:sz w:val="22"/>
                <w:szCs w:val="22"/>
              </w:rPr>
              <w:t>plaide qu’il s’</w:t>
            </w:r>
            <w:r w:rsidR="008C6EF5">
              <w:rPr>
                <w:rFonts w:ascii="Arial" w:hAnsi="Arial" w:cs="Arial"/>
                <w:color w:val="000000"/>
                <w:sz w:val="22"/>
                <w:szCs w:val="22"/>
              </w:rPr>
              <w:t xml:space="preserve">agit </w:t>
            </w:r>
            <w:r w:rsidR="00494D66">
              <w:rPr>
                <w:rFonts w:ascii="Arial" w:hAnsi="Arial" w:cs="Arial"/>
                <w:color w:val="000000"/>
                <w:sz w:val="22"/>
                <w:szCs w:val="22"/>
              </w:rPr>
              <w:t xml:space="preserve">plutôt </w:t>
            </w:r>
            <w:r w:rsidR="008C6EF5">
              <w:rPr>
                <w:rFonts w:ascii="Arial" w:hAnsi="Arial" w:cs="Arial"/>
                <w:color w:val="000000"/>
                <w:sz w:val="22"/>
                <w:szCs w:val="22"/>
              </w:rPr>
              <w:t>de l</w:t>
            </w:r>
            <w:r w:rsidR="00A929AE">
              <w:rPr>
                <w:rFonts w:ascii="Arial" w:hAnsi="Arial" w:cs="Arial"/>
                <w:color w:val="000000"/>
                <w:sz w:val="22"/>
                <w:szCs w:val="22"/>
              </w:rPr>
              <w:t xml:space="preserve">a valeur </w:t>
            </w:r>
            <w:r w:rsidR="003F296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="00A929AE">
              <w:rPr>
                <w:rFonts w:ascii="Arial" w:hAnsi="Arial" w:cs="Arial"/>
                <w:color w:val="000000"/>
                <w:sz w:val="22"/>
                <w:szCs w:val="22"/>
              </w:rPr>
              <w:t>marchande</w:t>
            </w:r>
            <w:r w:rsidR="008C6EF5">
              <w:rPr>
                <w:rFonts w:ascii="Arial" w:hAnsi="Arial" w:cs="Arial"/>
                <w:color w:val="000000"/>
                <w:sz w:val="22"/>
                <w:szCs w:val="22"/>
              </w:rPr>
              <w:t xml:space="preserve"> de l’immeuble. Le seul employeur de la municipalité a fermé ses portes il y a deux ans. Depuis, le marché immobilier est </w:t>
            </w:r>
            <w:r w:rsidR="00494D66">
              <w:rPr>
                <w:rFonts w:ascii="Arial" w:hAnsi="Arial" w:cs="Arial"/>
                <w:color w:val="000000"/>
                <w:sz w:val="22"/>
                <w:szCs w:val="22"/>
              </w:rPr>
              <w:t>en forte</w:t>
            </w:r>
            <w:r w:rsidR="008C6EF5">
              <w:rPr>
                <w:rFonts w:ascii="Arial" w:hAnsi="Arial" w:cs="Arial"/>
                <w:color w:val="000000"/>
                <w:sz w:val="22"/>
                <w:szCs w:val="22"/>
              </w:rPr>
              <w:t xml:space="preserve"> baisse. </w:t>
            </w:r>
            <w:r w:rsidR="00494D66">
              <w:rPr>
                <w:rFonts w:ascii="Arial" w:hAnsi="Arial" w:cs="Arial"/>
                <w:color w:val="000000"/>
                <w:sz w:val="22"/>
                <w:szCs w:val="22"/>
              </w:rPr>
              <w:t xml:space="preserve">Il serait insensé que la demande soit accueillie pour un montant supérieur à la valeur du bien qui a péri. </w:t>
            </w:r>
            <w:r w:rsidR="008C6EF5">
              <w:rPr>
                <w:rFonts w:ascii="Arial" w:hAnsi="Arial" w:cs="Arial"/>
                <w:color w:val="000000"/>
                <w:sz w:val="22"/>
                <w:szCs w:val="22"/>
              </w:rPr>
              <w:t xml:space="preserve">Subsidiairement, il </w:t>
            </w:r>
            <w:r w:rsidR="001121CA">
              <w:rPr>
                <w:rFonts w:ascii="Arial" w:hAnsi="Arial" w:cs="Arial"/>
                <w:color w:val="000000"/>
                <w:sz w:val="22"/>
                <w:szCs w:val="22"/>
              </w:rPr>
              <w:t xml:space="preserve">est d’accord que </w:t>
            </w:r>
            <w:r w:rsidR="008C6EF5">
              <w:rPr>
                <w:rFonts w:ascii="Arial" w:hAnsi="Arial" w:cs="Arial"/>
                <w:color w:val="000000"/>
                <w:sz w:val="22"/>
                <w:szCs w:val="22"/>
              </w:rPr>
              <w:t>les</w:t>
            </w:r>
            <w:r w:rsidR="001121CA">
              <w:rPr>
                <w:rFonts w:ascii="Arial" w:hAnsi="Arial" w:cs="Arial"/>
                <w:color w:val="000000"/>
                <w:sz w:val="22"/>
                <w:szCs w:val="22"/>
              </w:rPr>
              <w:t xml:space="preserve"> dommages correspond</w:t>
            </w:r>
            <w:r w:rsidR="008C6EF5">
              <w:rPr>
                <w:rFonts w:ascii="Arial" w:hAnsi="Arial" w:cs="Arial"/>
                <w:color w:val="000000"/>
                <w:sz w:val="22"/>
                <w:szCs w:val="22"/>
              </w:rPr>
              <w:t>ent</w:t>
            </w:r>
            <w:r w:rsidR="001121CA">
              <w:rPr>
                <w:rFonts w:ascii="Arial" w:hAnsi="Arial" w:cs="Arial"/>
                <w:color w:val="000000"/>
                <w:sz w:val="22"/>
                <w:szCs w:val="22"/>
              </w:rPr>
              <w:t xml:space="preserve"> au coût de reconstruction moins la dépréciation</w:t>
            </w:r>
            <w:r w:rsidR="004C4CB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8C6EF5">
              <w:rPr>
                <w:rFonts w:ascii="Arial" w:hAnsi="Arial" w:cs="Arial"/>
                <w:color w:val="000000"/>
                <w:sz w:val="22"/>
                <w:szCs w:val="22"/>
              </w:rPr>
              <w:t>et non à l’indemnité reçue</w:t>
            </w:r>
            <w:r w:rsidR="001121CA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6C0A4CDE" w14:textId="77777777" w:rsidR="003E17F6" w:rsidRDefault="003E17F6" w:rsidP="003E17F6">
            <w:p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0A4CDF" w14:textId="77777777" w:rsidR="00500E90" w:rsidRDefault="008C6EF5" w:rsidP="003E17F6">
            <w:pPr>
              <w:tabs>
                <w:tab w:val="left" w:pos="318"/>
                <w:tab w:val="left" w:pos="3030"/>
                <w:tab w:val="left" w:pos="7380"/>
              </w:tabs>
              <w:spacing w:before="60" w:after="60"/>
              <w:ind w:left="3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Dans un cas comme dans l’autre, </w:t>
            </w:r>
            <w:r w:rsidR="00494D66">
              <w:rPr>
                <w:rFonts w:ascii="Arial" w:hAnsi="Arial" w:cs="Arial"/>
                <w:color w:val="000000"/>
                <w:sz w:val="22"/>
                <w:szCs w:val="22"/>
              </w:rPr>
              <w:t>les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dommages </w:t>
            </w:r>
            <w:r w:rsidR="00494D66">
              <w:rPr>
                <w:rFonts w:ascii="Arial" w:hAnsi="Arial" w:cs="Arial"/>
                <w:color w:val="000000"/>
                <w:sz w:val="22"/>
                <w:szCs w:val="22"/>
              </w:rPr>
              <w:t xml:space="preserve">accordés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devront être réduits. En effet, s</w:t>
            </w:r>
            <w:r w:rsidR="001121CA">
              <w:rPr>
                <w:rFonts w:ascii="Arial" w:hAnsi="Arial" w:cs="Arial"/>
                <w:color w:val="000000"/>
                <w:sz w:val="22"/>
                <w:szCs w:val="22"/>
              </w:rPr>
              <w:t xml:space="preserve">i les pompiers étaient arrivés plus tôt, </w:t>
            </w:r>
            <w:r w:rsidR="00D73775">
              <w:rPr>
                <w:rFonts w:ascii="Arial" w:hAnsi="Arial" w:cs="Arial"/>
                <w:color w:val="000000"/>
                <w:sz w:val="22"/>
                <w:szCs w:val="22"/>
              </w:rPr>
              <w:t>les dommages auraient été moindres</w:t>
            </w:r>
            <w:r w:rsidR="001121C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A929AE">
              <w:rPr>
                <w:rFonts w:ascii="Arial" w:hAnsi="Arial" w:cs="Arial"/>
                <w:color w:val="000000"/>
                <w:sz w:val="22"/>
                <w:szCs w:val="22"/>
              </w:rPr>
              <w:t xml:space="preserve"> Même si les pompiers ne sont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pas </w:t>
            </w:r>
            <w:r w:rsidR="00A929AE">
              <w:rPr>
                <w:rFonts w:ascii="Arial" w:hAnsi="Arial" w:cs="Arial"/>
                <w:color w:val="000000"/>
                <w:sz w:val="22"/>
                <w:szCs w:val="22"/>
              </w:rPr>
              <w:t xml:space="preserve">poursuivis, leur faute rompt le lien de causalité </w:t>
            </w:r>
            <w:r w:rsidR="003F1889">
              <w:rPr>
                <w:rFonts w:ascii="Arial" w:hAnsi="Arial" w:cs="Arial"/>
                <w:color w:val="000000"/>
                <w:sz w:val="22"/>
                <w:szCs w:val="22"/>
              </w:rPr>
              <w:t>avec les</w:t>
            </w:r>
            <w:r w:rsidR="00D73775">
              <w:rPr>
                <w:rFonts w:ascii="Arial" w:hAnsi="Arial" w:cs="Arial"/>
                <w:color w:val="000000"/>
                <w:sz w:val="22"/>
                <w:szCs w:val="22"/>
              </w:rPr>
              <w:t xml:space="preserve"> dommages </w:t>
            </w:r>
            <w:r w:rsidR="003F1889">
              <w:rPr>
                <w:rFonts w:ascii="Arial" w:hAnsi="Arial" w:cs="Arial"/>
                <w:color w:val="000000"/>
                <w:sz w:val="22"/>
                <w:szCs w:val="22"/>
              </w:rPr>
              <w:t xml:space="preserve">qu’une intervention plus rapide </w:t>
            </w:r>
            <w:r w:rsidR="003F296D">
              <w:rPr>
                <w:rFonts w:ascii="Arial" w:hAnsi="Arial" w:cs="Arial"/>
                <w:color w:val="000000"/>
                <w:sz w:val="22"/>
                <w:szCs w:val="22"/>
              </w:rPr>
              <w:t>aurai</w:t>
            </w:r>
            <w:r w:rsidR="00D73775">
              <w:rPr>
                <w:rFonts w:ascii="Arial" w:hAnsi="Arial" w:cs="Arial"/>
                <w:color w:val="000000"/>
                <w:sz w:val="22"/>
                <w:szCs w:val="22"/>
              </w:rPr>
              <w:t>t évités</w:t>
            </w:r>
            <w:r w:rsidR="00A929A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C0A4CE0" w14:textId="77777777" w:rsidR="00D22ADC" w:rsidRPr="006E67A3" w:rsidRDefault="00D22ADC" w:rsidP="00D22ADC">
            <w:pPr>
              <w:tabs>
                <w:tab w:val="left" w:pos="318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C0A4CE2" w14:textId="77777777" w:rsidR="00CA665B" w:rsidRDefault="00CA665B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00E90" w:rsidRPr="00B33EEE" w14:paraId="6C0A4CE4" w14:textId="77777777" w:rsidTr="00CA665B">
        <w:tc>
          <w:tcPr>
            <w:tcW w:w="9498" w:type="dxa"/>
            <w:tcBorders>
              <w:bottom w:val="single" w:sz="4" w:space="0" w:color="auto"/>
            </w:tcBorders>
            <w:shd w:val="clear" w:color="auto" w:fill="E6E6E6"/>
          </w:tcPr>
          <w:p w14:paraId="6C0A4CE3" w14:textId="77777777" w:rsidR="00500E90" w:rsidRPr="006E67A3" w:rsidRDefault="00500E90" w:rsidP="00500E90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IV</w:t>
            </w:r>
            <w:r w:rsidRPr="006E67A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L’EXPOSÉ DES ADMISSIONS DE </w:t>
            </w:r>
            <w:r w:rsidRPr="00500E9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QUANTUM</w:t>
            </w:r>
          </w:p>
        </w:tc>
      </w:tr>
      <w:tr w:rsidR="00500E90" w:rsidRPr="00B33EEE" w14:paraId="6C0A4CE6" w14:textId="77777777" w:rsidTr="00CA665B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14:paraId="6C0A4CE5" w14:textId="77777777" w:rsidR="00500E90" w:rsidRPr="006E67A3" w:rsidRDefault="00500E90" w:rsidP="008B033F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00E90" w:rsidRPr="00B33EEE" w14:paraId="6C0A4CE8" w14:textId="77777777" w:rsidTr="00CA665B">
        <w:tc>
          <w:tcPr>
            <w:tcW w:w="9498" w:type="dxa"/>
            <w:tcBorders>
              <w:bottom w:val="single" w:sz="4" w:space="0" w:color="auto"/>
            </w:tcBorders>
          </w:tcPr>
          <w:p w14:paraId="6C0A4CE7" w14:textId="77777777" w:rsidR="00500E90" w:rsidRPr="006E67A3" w:rsidRDefault="00500E90" w:rsidP="00500E9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Voici les rapprochements ou admissions proposés par les parties, quant aux éléments de réclamation de la demande :</w:t>
            </w:r>
          </w:p>
        </w:tc>
      </w:tr>
    </w:tbl>
    <w:p w14:paraId="6C0A4CE9" w14:textId="77777777" w:rsidR="00500E90" w:rsidRPr="00500E90" w:rsidRDefault="00500E9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628"/>
        <w:gridCol w:w="1628"/>
        <w:gridCol w:w="1628"/>
        <w:gridCol w:w="1629"/>
      </w:tblGrid>
      <w:tr w:rsidR="00E47725" w:rsidRPr="00CA665B" w14:paraId="6C0A4CEF" w14:textId="77777777" w:rsidTr="00E47725">
        <w:tc>
          <w:tcPr>
            <w:tcW w:w="2977" w:type="dxa"/>
            <w:shd w:val="clear" w:color="auto" w:fill="auto"/>
          </w:tcPr>
          <w:p w14:paraId="6C0A4CEA" w14:textId="77777777" w:rsidR="00500E90" w:rsidRPr="00E47725" w:rsidRDefault="00500E90" w:rsidP="00E47725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725">
              <w:rPr>
                <w:rFonts w:ascii="Arial" w:hAnsi="Arial" w:cs="Arial"/>
                <w:b/>
                <w:sz w:val="20"/>
                <w:szCs w:val="20"/>
              </w:rPr>
              <w:t>Poste</w:t>
            </w:r>
          </w:p>
        </w:tc>
        <w:tc>
          <w:tcPr>
            <w:tcW w:w="1628" w:type="dxa"/>
            <w:shd w:val="clear" w:color="auto" w:fill="auto"/>
          </w:tcPr>
          <w:p w14:paraId="6C0A4CEB" w14:textId="77777777" w:rsidR="00500E90" w:rsidRPr="00E47725" w:rsidRDefault="00EE6CE0" w:rsidP="00E477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725">
              <w:rPr>
                <w:rFonts w:ascii="Arial" w:hAnsi="Arial" w:cs="Arial"/>
                <w:b/>
                <w:sz w:val="20"/>
                <w:szCs w:val="20"/>
              </w:rPr>
              <w:t>Demande présentée</w:t>
            </w:r>
          </w:p>
        </w:tc>
        <w:tc>
          <w:tcPr>
            <w:tcW w:w="1628" w:type="dxa"/>
            <w:shd w:val="clear" w:color="auto" w:fill="auto"/>
          </w:tcPr>
          <w:p w14:paraId="6C0A4CEC" w14:textId="77777777" w:rsidR="00500E90" w:rsidRPr="00E47725" w:rsidRDefault="00CA665B" w:rsidP="00E477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725">
              <w:rPr>
                <w:rFonts w:ascii="Arial" w:hAnsi="Arial" w:cs="Arial"/>
                <w:b/>
                <w:sz w:val="20"/>
                <w:szCs w:val="20"/>
              </w:rPr>
              <w:t>Proposition</w:t>
            </w:r>
            <w:r w:rsidRPr="00E47725">
              <w:rPr>
                <w:rFonts w:ascii="Arial" w:hAnsi="Arial" w:cs="Arial"/>
                <w:b/>
                <w:sz w:val="20"/>
                <w:szCs w:val="20"/>
              </w:rPr>
              <w:br/>
              <w:t xml:space="preserve">en </w:t>
            </w:r>
            <w:r w:rsidR="00EE6CE0" w:rsidRPr="00E47725">
              <w:rPr>
                <w:rFonts w:ascii="Arial" w:hAnsi="Arial" w:cs="Arial"/>
                <w:b/>
                <w:sz w:val="20"/>
                <w:szCs w:val="20"/>
              </w:rPr>
              <w:t>demande</w:t>
            </w:r>
          </w:p>
        </w:tc>
        <w:tc>
          <w:tcPr>
            <w:tcW w:w="1628" w:type="dxa"/>
            <w:shd w:val="clear" w:color="auto" w:fill="auto"/>
          </w:tcPr>
          <w:p w14:paraId="6C0A4CED" w14:textId="77777777" w:rsidR="00500E90" w:rsidRPr="00E47725" w:rsidRDefault="00EE6CE0" w:rsidP="00E477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725">
              <w:rPr>
                <w:rFonts w:ascii="Arial" w:hAnsi="Arial" w:cs="Arial"/>
                <w:b/>
                <w:sz w:val="20"/>
                <w:szCs w:val="20"/>
              </w:rPr>
              <w:t>Proposition</w:t>
            </w:r>
            <w:r w:rsidR="00CA665B" w:rsidRPr="00E47725">
              <w:rPr>
                <w:rFonts w:ascii="Arial" w:hAnsi="Arial" w:cs="Arial"/>
                <w:b/>
                <w:sz w:val="20"/>
                <w:szCs w:val="20"/>
              </w:rPr>
              <w:br/>
              <w:t xml:space="preserve">en </w:t>
            </w:r>
            <w:r w:rsidRPr="00E47725">
              <w:rPr>
                <w:rFonts w:ascii="Arial" w:hAnsi="Arial" w:cs="Arial"/>
                <w:b/>
                <w:sz w:val="20"/>
                <w:szCs w:val="20"/>
              </w:rPr>
              <w:t>défense</w:t>
            </w:r>
          </w:p>
        </w:tc>
        <w:tc>
          <w:tcPr>
            <w:tcW w:w="1629" w:type="dxa"/>
            <w:shd w:val="clear" w:color="auto" w:fill="auto"/>
          </w:tcPr>
          <w:p w14:paraId="6C0A4CEE" w14:textId="77777777" w:rsidR="00500E90" w:rsidRPr="00E47725" w:rsidRDefault="00EE6CE0" w:rsidP="00E47725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725">
              <w:rPr>
                <w:rFonts w:ascii="Arial" w:hAnsi="Arial" w:cs="Arial"/>
                <w:b/>
                <w:sz w:val="20"/>
                <w:szCs w:val="20"/>
              </w:rPr>
              <w:t>Admission</w:t>
            </w:r>
          </w:p>
        </w:tc>
      </w:tr>
      <w:tr w:rsidR="00E47725" w:rsidRPr="00500E90" w14:paraId="6C0A4CF5" w14:textId="77777777" w:rsidTr="00E47725">
        <w:tc>
          <w:tcPr>
            <w:tcW w:w="2977" w:type="dxa"/>
            <w:shd w:val="clear" w:color="auto" w:fill="auto"/>
          </w:tcPr>
          <w:p w14:paraId="6C0A4CF0" w14:textId="77777777" w:rsidR="00500E90" w:rsidRPr="00E47725" w:rsidRDefault="00447437" w:rsidP="00E47725">
            <w:pPr>
              <w:numPr>
                <w:ilvl w:val="0"/>
                <w:numId w:val="7"/>
              </w:num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E47725">
              <w:rPr>
                <w:rFonts w:ascii="Arial" w:hAnsi="Arial" w:cs="Arial"/>
                <w:sz w:val="22"/>
                <w:szCs w:val="22"/>
              </w:rPr>
              <w:t>Dommages à l’immeuble</w:t>
            </w:r>
            <w:r w:rsidR="00EE6CE0" w:rsidRPr="00E47725">
              <w:rPr>
                <w:rFonts w:ascii="Arial" w:hAnsi="Arial" w:cs="Arial"/>
                <w:sz w:val="22"/>
                <w:szCs w:val="22"/>
              </w:rPr>
              <w:br/>
            </w:r>
            <w:r w:rsidR="00EE6CE0" w:rsidRPr="00E4772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628" w:type="dxa"/>
            <w:shd w:val="clear" w:color="auto" w:fill="auto"/>
          </w:tcPr>
          <w:p w14:paraId="6C0A4CF1" w14:textId="77777777" w:rsidR="00500E90" w:rsidRPr="00E47725" w:rsidRDefault="00447437" w:rsidP="00D97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7725">
              <w:rPr>
                <w:rFonts w:ascii="Arial" w:hAnsi="Arial" w:cs="Arial"/>
                <w:sz w:val="22"/>
                <w:szCs w:val="22"/>
              </w:rPr>
              <w:t>1 000 000 $</w:t>
            </w:r>
          </w:p>
        </w:tc>
        <w:tc>
          <w:tcPr>
            <w:tcW w:w="1628" w:type="dxa"/>
            <w:shd w:val="clear" w:color="auto" w:fill="auto"/>
          </w:tcPr>
          <w:p w14:paraId="6C0A4CF2" w14:textId="77777777" w:rsidR="00500E90" w:rsidRPr="00E47725" w:rsidRDefault="00447437" w:rsidP="00D97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7725">
              <w:rPr>
                <w:rFonts w:ascii="Arial" w:hAnsi="Arial" w:cs="Arial"/>
                <w:sz w:val="22"/>
                <w:szCs w:val="22"/>
              </w:rPr>
              <w:t>800 000 $</w:t>
            </w:r>
          </w:p>
        </w:tc>
        <w:tc>
          <w:tcPr>
            <w:tcW w:w="1628" w:type="dxa"/>
            <w:shd w:val="clear" w:color="auto" w:fill="auto"/>
          </w:tcPr>
          <w:p w14:paraId="6C0A4CF3" w14:textId="77777777" w:rsidR="00500E90" w:rsidRPr="00E47725" w:rsidRDefault="001121CA" w:rsidP="00D97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7725">
              <w:rPr>
                <w:rFonts w:ascii="Arial" w:hAnsi="Arial" w:cs="Arial"/>
                <w:sz w:val="22"/>
                <w:szCs w:val="22"/>
              </w:rPr>
              <w:t>4</w:t>
            </w:r>
            <w:r w:rsidR="00447437" w:rsidRPr="00E47725">
              <w:rPr>
                <w:rFonts w:ascii="Arial" w:hAnsi="Arial" w:cs="Arial"/>
                <w:sz w:val="22"/>
                <w:szCs w:val="22"/>
              </w:rPr>
              <w:t>00 000 $</w:t>
            </w:r>
          </w:p>
        </w:tc>
        <w:tc>
          <w:tcPr>
            <w:tcW w:w="1629" w:type="dxa"/>
            <w:shd w:val="clear" w:color="auto" w:fill="auto"/>
          </w:tcPr>
          <w:p w14:paraId="6C0A4CF4" w14:textId="77777777" w:rsidR="00500E90" w:rsidRPr="00E47725" w:rsidRDefault="00500E90" w:rsidP="00D97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725" w:rsidRPr="00500E90" w14:paraId="6C0A4CFB" w14:textId="77777777" w:rsidTr="00E47725">
        <w:tc>
          <w:tcPr>
            <w:tcW w:w="2977" w:type="dxa"/>
            <w:shd w:val="clear" w:color="auto" w:fill="auto"/>
          </w:tcPr>
          <w:p w14:paraId="6C0A4CF6" w14:textId="77777777" w:rsidR="00500E90" w:rsidRPr="00E47725" w:rsidRDefault="00500E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6C0A4CF7" w14:textId="77777777" w:rsidR="00500E90" w:rsidRPr="00E47725" w:rsidRDefault="00500E90" w:rsidP="00D97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6C0A4CF8" w14:textId="77777777" w:rsidR="00500E90" w:rsidRPr="00E47725" w:rsidRDefault="00500E90" w:rsidP="00D97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6C0A4CF9" w14:textId="77777777" w:rsidR="00500E90" w:rsidRPr="00E47725" w:rsidRDefault="00500E90" w:rsidP="00D97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6C0A4CFA" w14:textId="77777777" w:rsidR="00500E90" w:rsidRPr="00E47725" w:rsidRDefault="00500E90" w:rsidP="00D97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725" w:rsidRPr="00500E90" w14:paraId="6C0A4D01" w14:textId="77777777" w:rsidTr="00E47725">
        <w:tc>
          <w:tcPr>
            <w:tcW w:w="2977" w:type="dxa"/>
            <w:shd w:val="clear" w:color="auto" w:fill="auto"/>
          </w:tcPr>
          <w:p w14:paraId="6C0A4CFC" w14:textId="77777777" w:rsidR="00EE6CE0" w:rsidRPr="00E47725" w:rsidRDefault="00447437" w:rsidP="00E47725">
            <w:pPr>
              <w:numPr>
                <w:ilvl w:val="0"/>
                <w:numId w:val="7"/>
              </w:num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E47725">
              <w:rPr>
                <w:rFonts w:ascii="Arial" w:hAnsi="Arial" w:cs="Arial"/>
                <w:sz w:val="22"/>
                <w:szCs w:val="22"/>
              </w:rPr>
              <w:t>Perte de loyers</w:t>
            </w:r>
            <w:r w:rsidR="00EE6CE0" w:rsidRPr="00E47725">
              <w:rPr>
                <w:rFonts w:ascii="Arial" w:hAnsi="Arial" w:cs="Arial"/>
                <w:sz w:val="22"/>
                <w:szCs w:val="22"/>
              </w:rPr>
              <w:br/>
            </w:r>
            <w:r w:rsidR="00EE6CE0" w:rsidRPr="00E4772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628" w:type="dxa"/>
            <w:shd w:val="clear" w:color="auto" w:fill="auto"/>
          </w:tcPr>
          <w:p w14:paraId="6C0A4CFD" w14:textId="77777777" w:rsidR="00EE6CE0" w:rsidRPr="00E47725" w:rsidRDefault="00447437" w:rsidP="00D97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7725">
              <w:rPr>
                <w:rFonts w:ascii="Arial" w:hAnsi="Arial" w:cs="Arial"/>
                <w:sz w:val="22"/>
                <w:szCs w:val="22"/>
              </w:rPr>
              <w:t>50 000 $</w:t>
            </w:r>
          </w:p>
        </w:tc>
        <w:tc>
          <w:tcPr>
            <w:tcW w:w="1628" w:type="dxa"/>
            <w:shd w:val="clear" w:color="auto" w:fill="auto"/>
          </w:tcPr>
          <w:p w14:paraId="6C0A4CFE" w14:textId="77777777" w:rsidR="00EE6CE0" w:rsidRPr="00E47725" w:rsidRDefault="00447437" w:rsidP="00D97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7725">
              <w:rPr>
                <w:rFonts w:ascii="Arial" w:hAnsi="Arial" w:cs="Arial"/>
                <w:sz w:val="22"/>
                <w:szCs w:val="22"/>
              </w:rPr>
              <w:t>40 000 $</w:t>
            </w:r>
          </w:p>
        </w:tc>
        <w:tc>
          <w:tcPr>
            <w:tcW w:w="1628" w:type="dxa"/>
            <w:shd w:val="clear" w:color="auto" w:fill="auto"/>
          </w:tcPr>
          <w:p w14:paraId="6C0A4CFF" w14:textId="77777777" w:rsidR="00EE6CE0" w:rsidRPr="00E47725" w:rsidRDefault="001121CA" w:rsidP="00D97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7725">
              <w:rPr>
                <w:rFonts w:ascii="Arial" w:hAnsi="Arial" w:cs="Arial"/>
                <w:sz w:val="22"/>
                <w:szCs w:val="22"/>
              </w:rPr>
              <w:t>20</w:t>
            </w:r>
            <w:r w:rsidR="00447437" w:rsidRPr="00E47725">
              <w:rPr>
                <w:rFonts w:ascii="Arial" w:hAnsi="Arial" w:cs="Arial"/>
                <w:sz w:val="22"/>
                <w:szCs w:val="22"/>
              </w:rPr>
              <w:t> 000 $</w:t>
            </w:r>
          </w:p>
        </w:tc>
        <w:tc>
          <w:tcPr>
            <w:tcW w:w="1629" w:type="dxa"/>
            <w:shd w:val="clear" w:color="auto" w:fill="auto"/>
          </w:tcPr>
          <w:p w14:paraId="6C0A4D00" w14:textId="77777777" w:rsidR="00EE6CE0" w:rsidRPr="00E47725" w:rsidRDefault="00EE6CE0" w:rsidP="00D97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725" w:rsidRPr="00500E90" w14:paraId="6C0A4D07" w14:textId="77777777" w:rsidTr="00E47725">
        <w:tc>
          <w:tcPr>
            <w:tcW w:w="2977" w:type="dxa"/>
            <w:shd w:val="clear" w:color="auto" w:fill="auto"/>
          </w:tcPr>
          <w:p w14:paraId="6C0A4D02" w14:textId="77777777" w:rsidR="00EE6CE0" w:rsidRPr="00E47725" w:rsidRDefault="00EE6C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6C0A4D03" w14:textId="77777777" w:rsidR="00EE6CE0" w:rsidRPr="00E47725" w:rsidRDefault="00EE6CE0" w:rsidP="00D97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6C0A4D04" w14:textId="77777777" w:rsidR="00EE6CE0" w:rsidRPr="00E47725" w:rsidRDefault="00EE6CE0" w:rsidP="00D97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6C0A4D05" w14:textId="77777777" w:rsidR="00EE6CE0" w:rsidRPr="00E47725" w:rsidRDefault="00EE6CE0" w:rsidP="00D97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6C0A4D06" w14:textId="77777777" w:rsidR="00EE6CE0" w:rsidRPr="00E47725" w:rsidRDefault="00EE6CE0" w:rsidP="00D97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725" w:rsidRPr="00500E90" w14:paraId="6C0A4D0D" w14:textId="77777777" w:rsidTr="00E47725">
        <w:tc>
          <w:tcPr>
            <w:tcW w:w="2977" w:type="dxa"/>
            <w:shd w:val="clear" w:color="auto" w:fill="auto"/>
          </w:tcPr>
          <w:p w14:paraId="6C0A4D08" w14:textId="77777777" w:rsidR="00EE6CE0" w:rsidRPr="00E47725" w:rsidRDefault="00447437" w:rsidP="00E47725">
            <w:pPr>
              <w:numPr>
                <w:ilvl w:val="0"/>
                <w:numId w:val="7"/>
              </w:numPr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E47725">
              <w:rPr>
                <w:rFonts w:ascii="Arial" w:hAnsi="Arial" w:cs="Arial"/>
                <w:sz w:val="22"/>
                <w:szCs w:val="22"/>
              </w:rPr>
              <w:t>Dommages aux biens meubles servant au jardinage et à l’entretien de l’immeuble.</w:t>
            </w:r>
            <w:r w:rsidR="00EE6CE0" w:rsidRPr="00E4772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628" w:type="dxa"/>
            <w:shd w:val="clear" w:color="auto" w:fill="auto"/>
          </w:tcPr>
          <w:p w14:paraId="6C0A4D09" w14:textId="77777777" w:rsidR="00EE6CE0" w:rsidRPr="00E47725" w:rsidRDefault="00447437" w:rsidP="00D97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7725">
              <w:rPr>
                <w:rFonts w:ascii="Arial" w:hAnsi="Arial" w:cs="Arial"/>
                <w:sz w:val="22"/>
                <w:szCs w:val="22"/>
              </w:rPr>
              <w:t>10 000 $</w:t>
            </w:r>
          </w:p>
        </w:tc>
        <w:tc>
          <w:tcPr>
            <w:tcW w:w="1628" w:type="dxa"/>
            <w:shd w:val="clear" w:color="auto" w:fill="auto"/>
          </w:tcPr>
          <w:p w14:paraId="6C0A4D0A" w14:textId="77777777" w:rsidR="00EE6CE0" w:rsidRPr="00E47725" w:rsidRDefault="00EE6CE0" w:rsidP="00D97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6C0A4D0B" w14:textId="77777777" w:rsidR="00EE6CE0" w:rsidRPr="00E47725" w:rsidRDefault="00EE6CE0" w:rsidP="00D97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14:paraId="6C0A4D0C" w14:textId="77777777" w:rsidR="00EE6CE0" w:rsidRPr="00E47725" w:rsidRDefault="00D97A17" w:rsidP="00D97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6 000 $</w:t>
            </w:r>
          </w:p>
        </w:tc>
      </w:tr>
    </w:tbl>
    <w:p w14:paraId="6C0A4D0E" w14:textId="77777777" w:rsidR="00FF74F2" w:rsidRDefault="00FF74F2"/>
    <w:p w14:paraId="6C0A4D0F" w14:textId="77777777" w:rsidR="001204F6" w:rsidRDefault="00D43B25" w:rsidP="00782D16">
      <w:pPr>
        <w:jc w:val="both"/>
        <w:rPr>
          <w:rFonts w:ascii="Arial" w:hAnsi="Arial" w:cs="Arial"/>
          <w:sz w:val="22"/>
        </w:rPr>
      </w:pPr>
      <w:r w:rsidRPr="00D563BC">
        <w:rPr>
          <w:rFonts w:ascii="Arial" w:hAnsi="Arial" w:cs="Arial"/>
          <w:sz w:val="22"/>
        </w:rPr>
        <w:t>Signé, l</w:t>
      </w:r>
      <w:r w:rsidR="00D95C4E" w:rsidRPr="00D563BC">
        <w:rPr>
          <w:rFonts w:ascii="Arial" w:hAnsi="Arial" w:cs="Arial"/>
          <w:sz w:val="22"/>
        </w:rPr>
        <w:t xml:space="preserve">e </w:t>
      </w:r>
      <w:r w:rsidR="004C4CB4">
        <w:rPr>
          <w:rFonts w:ascii="Arial" w:hAnsi="Arial" w:cs="Arial"/>
          <w:sz w:val="22"/>
        </w:rPr>
        <w:t>30 avril 2020</w:t>
      </w:r>
    </w:p>
    <w:p w14:paraId="6C0A4D10" w14:textId="77777777" w:rsidR="001204F6" w:rsidRDefault="001204F6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1637"/>
        <w:gridCol w:w="3967"/>
      </w:tblGrid>
      <w:tr w:rsidR="001204F6" w:rsidRPr="00B33EEE" w14:paraId="6C0A4D15" w14:textId="77777777" w:rsidTr="00CA665B"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A4D11" w14:textId="77777777" w:rsidR="003F4A53" w:rsidRDefault="003F4A53" w:rsidP="00B33EEE">
            <w:pPr>
              <w:jc w:val="both"/>
              <w:rPr>
                <w:rFonts w:ascii="Arial" w:hAnsi="Arial" w:cs="Arial"/>
                <w:sz w:val="22"/>
              </w:rPr>
            </w:pPr>
          </w:p>
          <w:p w14:paraId="6C0A4D12" w14:textId="77777777" w:rsidR="00EE6CE0" w:rsidRPr="00B33EEE" w:rsidRDefault="00EE6CE0" w:rsidP="00B33EE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6C0A4D13" w14:textId="77777777" w:rsidR="001204F6" w:rsidRPr="00B33EEE" w:rsidRDefault="001204F6" w:rsidP="00B33EE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A4D14" w14:textId="77777777" w:rsidR="001204F6" w:rsidRPr="00B33EEE" w:rsidRDefault="001204F6" w:rsidP="00B33EE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F4A53" w:rsidRPr="00B33EEE" w14:paraId="6C0A4D1B" w14:textId="77777777" w:rsidTr="00CA665B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6C0A4D16" w14:textId="77777777" w:rsidR="003F4A53" w:rsidRPr="00B33EEE" w:rsidRDefault="003F4A53" w:rsidP="00B33EEE">
            <w:pPr>
              <w:spacing w:before="40"/>
              <w:jc w:val="both"/>
              <w:rPr>
                <w:rFonts w:ascii="Arial" w:hAnsi="Arial" w:cs="Arial"/>
                <w:b/>
                <w:sz w:val="22"/>
              </w:rPr>
            </w:pPr>
            <w:r w:rsidRPr="00B33EEE">
              <w:rPr>
                <w:rFonts w:ascii="Arial" w:hAnsi="Arial" w:cs="Arial"/>
                <w:b/>
                <w:sz w:val="22"/>
              </w:rPr>
              <w:t xml:space="preserve">Me </w:t>
            </w:r>
            <w:r w:rsidR="004C4CB4">
              <w:rPr>
                <w:rFonts w:ascii="Arial" w:hAnsi="Arial" w:cs="Arial"/>
                <w:b/>
                <w:sz w:val="22"/>
              </w:rPr>
              <w:t>B.C.D</w:t>
            </w:r>
            <w:r w:rsidR="00EE59FA">
              <w:rPr>
                <w:rFonts w:ascii="Arial" w:hAnsi="Arial" w:cs="Arial"/>
                <w:b/>
                <w:sz w:val="22"/>
              </w:rPr>
              <w:t>.</w:t>
            </w:r>
          </w:p>
          <w:p w14:paraId="6C0A4D17" w14:textId="77777777" w:rsidR="003F4A53" w:rsidRPr="00B33EEE" w:rsidRDefault="007219E5" w:rsidP="00B33EEE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Avocats </w:t>
            </w:r>
            <w:r w:rsidR="003F4A53" w:rsidRPr="00B33EEE">
              <w:rPr>
                <w:rFonts w:ascii="Arial" w:hAnsi="Arial" w:cs="Arial"/>
                <w:sz w:val="22"/>
              </w:rPr>
              <w:t>en demande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14:paraId="6C0A4D18" w14:textId="77777777" w:rsidR="003F4A53" w:rsidRPr="00B33EEE" w:rsidRDefault="003F4A53" w:rsidP="00B33EEE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14:paraId="6C0A4D19" w14:textId="77777777" w:rsidR="003F4A53" w:rsidRPr="002560C1" w:rsidRDefault="003F4A53" w:rsidP="00B33EEE">
            <w:pPr>
              <w:spacing w:before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60C1">
              <w:rPr>
                <w:rFonts w:ascii="Arial" w:hAnsi="Arial" w:cs="Arial"/>
                <w:b/>
                <w:sz w:val="22"/>
                <w:szCs w:val="22"/>
              </w:rPr>
              <w:t xml:space="preserve">Me </w:t>
            </w:r>
            <w:r w:rsidR="004C4CB4" w:rsidRPr="002560C1">
              <w:rPr>
                <w:rFonts w:ascii="Arial" w:hAnsi="Arial" w:cs="Arial"/>
                <w:b/>
                <w:color w:val="000000"/>
                <w:sz w:val="22"/>
                <w:szCs w:val="22"/>
              </w:rPr>
              <w:t>E.F.G</w:t>
            </w:r>
            <w:r w:rsidR="00EE59FA" w:rsidRPr="002560C1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14:paraId="6C0A4D1A" w14:textId="77777777" w:rsidR="003F4A53" w:rsidRPr="00B33EEE" w:rsidRDefault="007219E5" w:rsidP="007219E5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Avocats</w:t>
            </w:r>
            <w:r w:rsidR="003F4A53" w:rsidRPr="00B33EEE">
              <w:rPr>
                <w:rFonts w:ascii="Arial" w:hAnsi="Arial" w:cs="Arial"/>
                <w:sz w:val="22"/>
              </w:rPr>
              <w:t xml:space="preserve"> en défense</w:t>
            </w:r>
          </w:p>
        </w:tc>
      </w:tr>
    </w:tbl>
    <w:p w14:paraId="6C0A4D1C" w14:textId="77777777" w:rsidR="00EE6CE0" w:rsidRDefault="00EE6CE0" w:rsidP="004C4CB4">
      <w:pPr>
        <w:jc w:val="both"/>
      </w:pPr>
    </w:p>
    <w:sectPr w:rsidR="00EE6CE0" w:rsidSect="00CA665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34" w:right="1440" w:bottom="851" w:left="1418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4D1F" w14:textId="77777777" w:rsidR="00D22ADC" w:rsidRDefault="00D22ADC">
      <w:r>
        <w:separator/>
      </w:r>
    </w:p>
  </w:endnote>
  <w:endnote w:type="continuationSeparator" w:id="0">
    <w:p w14:paraId="6C0A4D20" w14:textId="77777777" w:rsidR="00D22ADC" w:rsidRDefault="00D2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4D24" w14:textId="77777777" w:rsidR="00D22ADC" w:rsidRPr="00EE6CE0" w:rsidRDefault="00D22ADC">
    <w:pPr>
      <w:pStyle w:val="Pieddepage"/>
      <w:jc w:val="right"/>
      <w:rPr>
        <w:rFonts w:ascii="Arial" w:hAnsi="Arial" w:cs="Arial"/>
      </w:rPr>
    </w:pPr>
    <w:r w:rsidRPr="00EE6CE0">
      <w:rPr>
        <w:rFonts w:ascii="Arial" w:hAnsi="Arial" w:cs="Arial"/>
      </w:rPr>
      <w:fldChar w:fldCharType="begin"/>
    </w:r>
    <w:r w:rsidRPr="00EE6CE0">
      <w:rPr>
        <w:rFonts w:ascii="Arial" w:hAnsi="Arial" w:cs="Arial"/>
      </w:rPr>
      <w:instrText xml:space="preserve"> PAGE   \* MERGEFORMAT </w:instrText>
    </w:r>
    <w:r w:rsidRPr="00EE6CE0">
      <w:rPr>
        <w:rFonts w:ascii="Arial" w:hAnsi="Arial" w:cs="Arial"/>
      </w:rPr>
      <w:fldChar w:fldCharType="separate"/>
    </w:r>
    <w:r w:rsidR="00D97A17">
      <w:rPr>
        <w:rFonts w:ascii="Arial" w:hAnsi="Arial" w:cs="Arial"/>
        <w:noProof/>
      </w:rPr>
      <w:t>3</w:t>
    </w:r>
    <w:r w:rsidRPr="00EE6CE0">
      <w:rPr>
        <w:rFonts w:ascii="Arial" w:hAnsi="Arial" w:cs="Arial"/>
      </w:rPr>
      <w:fldChar w:fldCharType="end"/>
    </w:r>
  </w:p>
  <w:p w14:paraId="6C0A4D25" w14:textId="77777777" w:rsidR="00D22ADC" w:rsidRDefault="00D22A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4D27" w14:textId="77777777" w:rsidR="00D22ADC" w:rsidRPr="0069276B" w:rsidRDefault="00D22ADC">
    <w:pPr>
      <w:pStyle w:val="Pieddepage"/>
      <w:jc w:val="right"/>
      <w:rPr>
        <w:rFonts w:ascii="Arial" w:hAnsi="Arial" w:cs="Arial"/>
      </w:rPr>
    </w:pPr>
    <w:r w:rsidRPr="0069276B">
      <w:rPr>
        <w:rFonts w:ascii="Arial" w:hAnsi="Arial" w:cs="Arial"/>
      </w:rPr>
      <w:fldChar w:fldCharType="begin"/>
    </w:r>
    <w:r w:rsidRPr="0069276B">
      <w:rPr>
        <w:rFonts w:ascii="Arial" w:hAnsi="Arial" w:cs="Arial"/>
      </w:rPr>
      <w:instrText xml:space="preserve"> PAGE   \* MERGEFORMAT </w:instrText>
    </w:r>
    <w:r w:rsidRPr="0069276B">
      <w:rPr>
        <w:rFonts w:ascii="Arial" w:hAnsi="Arial" w:cs="Arial"/>
      </w:rPr>
      <w:fldChar w:fldCharType="separate"/>
    </w:r>
    <w:r w:rsidR="00D97A17">
      <w:rPr>
        <w:rFonts w:ascii="Arial" w:hAnsi="Arial" w:cs="Arial"/>
        <w:noProof/>
      </w:rPr>
      <w:t>1</w:t>
    </w:r>
    <w:r w:rsidRPr="0069276B">
      <w:rPr>
        <w:rFonts w:ascii="Arial" w:hAnsi="Arial" w:cs="Arial"/>
      </w:rPr>
      <w:fldChar w:fldCharType="end"/>
    </w:r>
  </w:p>
  <w:p w14:paraId="6C0A4D28" w14:textId="77777777" w:rsidR="00D22ADC" w:rsidRDefault="00D22A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4D1D" w14:textId="77777777" w:rsidR="00D22ADC" w:rsidRDefault="00D22ADC">
      <w:r>
        <w:separator/>
      </w:r>
    </w:p>
  </w:footnote>
  <w:footnote w:type="continuationSeparator" w:id="0">
    <w:p w14:paraId="6C0A4D1E" w14:textId="77777777" w:rsidR="00D22ADC" w:rsidRDefault="00D2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4D21" w14:textId="77777777" w:rsidR="00D22ADC" w:rsidRDefault="0027722F" w:rsidP="00352593">
    <w:pPr>
      <w:pStyle w:val="En-tte"/>
      <w:framePr w:wrap="around" w:vAnchor="text" w:hAnchor="margin" w:xAlign="right" w:y="1"/>
      <w:rPr>
        <w:rStyle w:val="Numrodepage"/>
      </w:rPr>
    </w:pPr>
    <w:r>
      <w:rPr>
        <w:noProof/>
      </w:rPr>
      <w:pict w14:anchorId="6C0A4D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446110" o:spid="_x0000_s25604" type="#_x0000_t136" style="position:absolute;margin-left:0;margin-top:0;width:529.1pt;height:13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EMPLE"/>
          <w10:wrap anchorx="margin" anchory="margin"/>
        </v:shape>
      </w:pict>
    </w:r>
    <w:r w:rsidR="00D22ADC">
      <w:rPr>
        <w:rStyle w:val="Numrodepage"/>
      </w:rPr>
      <w:fldChar w:fldCharType="begin"/>
    </w:r>
    <w:r w:rsidR="00D22ADC">
      <w:rPr>
        <w:rStyle w:val="Numrodepage"/>
      </w:rPr>
      <w:instrText xml:space="preserve">PAGE  </w:instrText>
    </w:r>
    <w:r w:rsidR="00D22ADC">
      <w:rPr>
        <w:rStyle w:val="Numrodepage"/>
      </w:rPr>
      <w:fldChar w:fldCharType="separate"/>
    </w:r>
    <w:r w:rsidR="00D22ADC">
      <w:rPr>
        <w:rStyle w:val="Numrodepage"/>
        <w:noProof/>
      </w:rPr>
      <w:t>6</w:t>
    </w:r>
    <w:r w:rsidR="00D22ADC">
      <w:rPr>
        <w:rStyle w:val="Numrodepage"/>
      </w:rPr>
      <w:fldChar w:fldCharType="end"/>
    </w:r>
  </w:p>
  <w:p w14:paraId="6C0A4D22" w14:textId="77777777" w:rsidR="00D22ADC" w:rsidRDefault="00D22ADC" w:rsidP="00040B46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4D23" w14:textId="77777777" w:rsidR="00E47725" w:rsidRDefault="0027722F">
    <w:pPr>
      <w:pStyle w:val="En-tte"/>
    </w:pPr>
    <w:r>
      <w:rPr>
        <w:noProof/>
      </w:rPr>
      <w:pict w14:anchorId="6C0A4D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446111" o:spid="_x0000_s25605" type="#_x0000_t136" style="position:absolute;margin-left:0;margin-top:0;width:529.1pt;height:13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E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4D26" w14:textId="77777777" w:rsidR="00E47725" w:rsidRPr="00947321" w:rsidRDefault="0027722F" w:rsidP="00947321">
    <w:pPr>
      <w:pStyle w:val="En-tte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w:pict w14:anchorId="6C0A4D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446109" o:spid="_x0000_s25603" type="#_x0000_t136" style="position:absolute;left:0;text-align:left;margin-left:0;margin-top:0;width:529.1pt;height:13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EMPLE"/>
          <w10:wrap anchorx="margin" anchory="margin"/>
        </v:shape>
      </w:pict>
    </w:r>
    <w:r w:rsidR="00947321" w:rsidRPr="00947321">
      <w:rPr>
        <w:rFonts w:ascii="Arial" w:hAnsi="Arial" w:cs="Arial"/>
        <w:b/>
      </w:rPr>
      <w:t>C-3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ACC"/>
    <w:multiLevelType w:val="hybridMultilevel"/>
    <w:tmpl w:val="1EF63216"/>
    <w:lvl w:ilvl="0" w:tplc="F5A661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03DA2"/>
    <w:multiLevelType w:val="hybridMultilevel"/>
    <w:tmpl w:val="FCB07BBE"/>
    <w:lvl w:ilvl="0" w:tplc="F5A661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6F03"/>
    <w:multiLevelType w:val="hybridMultilevel"/>
    <w:tmpl w:val="60168D08"/>
    <w:lvl w:ilvl="0" w:tplc="F5A661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E7717"/>
    <w:multiLevelType w:val="hybridMultilevel"/>
    <w:tmpl w:val="A93E1A1E"/>
    <w:lvl w:ilvl="0" w:tplc="78605A68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86DD9"/>
    <w:multiLevelType w:val="hybridMultilevel"/>
    <w:tmpl w:val="FCB07BBE"/>
    <w:lvl w:ilvl="0" w:tplc="F5A661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E4ABA"/>
    <w:multiLevelType w:val="hybridMultilevel"/>
    <w:tmpl w:val="FCB07BBE"/>
    <w:lvl w:ilvl="0" w:tplc="F5A661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865B5"/>
    <w:multiLevelType w:val="hybridMultilevel"/>
    <w:tmpl w:val="FCB07BBE"/>
    <w:lvl w:ilvl="0" w:tplc="F5A661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796992">
    <w:abstractNumId w:val="3"/>
  </w:num>
  <w:num w:numId="2" w16cid:durableId="295454814">
    <w:abstractNumId w:val="5"/>
  </w:num>
  <w:num w:numId="3" w16cid:durableId="233705228">
    <w:abstractNumId w:val="6"/>
  </w:num>
  <w:num w:numId="4" w16cid:durableId="1575777610">
    <w:abstractNumId w:val="2"/>
  </w:num>
  <w:num w:numId="5" w16cid:durableId="964189974">
    <w:abstractNumId w:val="1"/>
  </w:num>
  <w:num w:numId="6" w16cid:durableId="1171065887">
    <w:abstractNumId w:val="4"/>
  </w:num>
  <w:num w:numId="7" w16cid:durableId="1939092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560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dgnword-docGUID" w:val="{1C21ADA2-6AF9-4394-B93E-F209FE514551}"/>
    <w:docVar w:name="dgnword-eventsink" w:val="490959256"/>
  </w:docVars>
  <w:rsids>
    <w:rsidRoot w:val="003D0379"/>
    <w:rsid w:val="00026245"/>
    <w:rsid w:val="00040B46"/>
    <w:rsid w:val="000548D7"/>
    <w:rsid w:val="00097789"/>
    <w:rsid w:val="000D4ACF"/>
    <w:rsid w:val="000E0A1B"/>
    <w:rsid w:val="000E18F2"/>
    <w:rsid w:val="000E2856"/>
    <w:rsid w:val="000E3F90"/>
    <w:rsid w:val="000F5821"/>
    <w:rsid w:val="0010712B"/>
    <w:rsid w:val="001121CA"/>
    <w:rsid w:val="00114CD9"/>
    <w:rsid w:val="001204F6"/>
    <w:rsid w:val="00123929"/>
    <w:rsid w:val="00123ABA"/>
    <w:rsid w:val="0013597A"/>
    <w:rsid w:val="00145723"/>
    <w:rsid w:val="00150948"/>
    <w:rsid w:val="00166B8E"/>
    <w:rsid w:val="00185656"/>
    <w:rsid w:val="00187E3E"/>
    <w:rsid w:val="001A6E72"/>
    <w:rsid w:val="001C52FA"/>
    <w:rsid w:val="001C650C"/>
    <w:rsid w:val="001C73B4"/>
    <w:rsid w:val="001D6383"/>
    <w:rsid w:val="001E799B"/>
    <w:rsid w:val="002038F3"/>
    <w:rsid w:val="002560C1"/>
    <w:rsid w:val="0027722F"/>
    <w:rsid w:val="00293E61"/>
    <w:rsid w:val="002967F5"/>
    <w:rsid w:val="002A0357"/>
    <w:rsid w:val="002A72C4"/>
    <w:rsid w:val="002A7D45"/>
    <w:rsid w:val="002B5869"/>
    <w:rsid w:val="002F1609"/>
    <w:rsid w:val="00307106"/>
    <w:rsid w:val="003350D3"/>
    <w:rsid w:val="00335C53"/>
    <w:rsid w:val="00343040"/>
    <w:rsid w:val="00344D34"/>
    <w:rsid w:val="00352593"/>
    <w:rsid w:val="00371C47"/>
    <w:rsid w:val="00384CDF"/>
    <w:rsid w:val="00387545"/>
    <w:rsid w:val="003A4BD1"/>
    <w:rsid w:val="003A5D00"/>
    <w:rsid w:val="003C0330"/>
    <w:rsid w:val="003D0379"/>
    <w:rsid w:val="003E17F6"/>
    <w:rsid w:val="003E6871"/>
    <w:rsid w:val="003F1889"/>
    <w:rsid w:val="003F2854"/>
    <w:rsid w:val="003F296D"/>
    <w:rsid w:val="003F4A53"/>
    <w:rsid w:val="003F7818"/>
    <w:rsid w:val="00404DCA"/>
    <w:rsid w:val="00447437"/>
    <w:rsid w:val="0047079C"/>
    <w:rsid w:val="0048339B"/>
    <w:rsid w:val="004872AE"/>
    <w:rsid w:val="00494D66"/>
    <w:rsid w:val="004B3C42"/>
    <w:rsid w:val="004B517E"/>
    <w:rsid w:val="004B7EC5"/>
    <w:rsid w:val="004C1617"/>
    <w:rsid w:val="004C4CB4"/>
    <w:rsid w:val="004D1D5B"/>
    <w:rsid w:val="004D68D6"/>
    <w:rsid w:val="004E6002"/>
    <w:rsid w:val="004F233B"/>
    <w:rsid w:val="00500E90"/>
    <w:rsid w:val="00513328"/>
    <w:rsid w:val="00513CF3"/>
    <w:rsid w:val="00522F14"/>
    <w:rsid w:val="0055557C"/>
    <w:rsid w:val="0056342A"/>
    <w:rsid w:val="005700E1"/>
    <w:rsid w:val="005B252D"/>
    <w:rsid w:val="005C1932"/>
    <w:rsid w:val="005C537F"/>
    <w:rsid w:val="005E69A9"/>
    <w:rsid w:val="005F492E"/>
    <w:rsid w:val="005F52FF"/>
    <w:rsid w:val="00600BC0"/>
    <w:rsid w:val="00624831"/>
    <w:rsid w:val="0064728D"/>
    <w:rsid w:val="00670E8B"/>
    <w:rsid w:val="00677CFE"/>
    <w:rsid w:val="006848E5"/>
    <w:rsid w:val="0069276B"/>
    <w:rsid w:val="00697005"/>
    <w:rsid w:val="006A4D8C"/>
    <w:rsid w:val="006B1407"/>
    <w:rsid w:val="006B58C3"/>
    <w:rsid w:val="006E67A3"/>
    <w:rsid w:val="0070741F"/>
    <w:rsid w:val="007219E5"/>
    <w:rsid w:val="00727A31"/>
    <w:rsid w:val="00735638"/>
    <w:rsid w:val="00756A10"/>
    <w:rsid w:val="00771E86"/>
    <w:rsid w:val="00782D16"/>
    <w:rsid w:val="0078420D"/>
    <w:rsid w:val="00785C0D"/>
    <w:rsid w:val="00797AE0"/>
    <w:rsid w:val="007A191B"/>
    <w:rsid w:val="007A71CB"/>
    <w:rsid w:val="007B4C13"/>
    <w:rsid w:val="007B5D29"/>
    <w:rsid w:val="007F00BB"/>
    <w:rsid w:val="007F7D9A"/>
    <w:rsid w:val="00801B00"/>
    <w:rsid w:val="0082592F"/>
    <w:rsid w:val="00836017"/>
    <w:rsid w:val="00836238"/>
    <w:rsid w:val="00850F3E"/>
    <w:rsid w:val="00865E22"/>
    <w:rsid w:val="008676F9"/>
    <w:rsid w:val="008C6EF5"/>
    <w:rsid w:val="008D011F"/>
    <w:rsid w:val="008E2098"/>
    <w:rsid w:val="008F0B7B"/>
    <w:rsid w:val="00900553"/>
    <w:rsid w:val="009051F3"/>
    <w:rsid w:val="00913AE8"/>
    <w:rsid w:val="00930D26"/>
    <w:rsid w:val="00947321"/>
    <w:rsid w:val="00960469"/>
    <w:rsid w:val="0096295B"/>
    <w:rsid w:val="009721E6"/>
    <w:rsid w:val="009824A4"/>
    <w:rsid w:val="00996811"/>
    <w:rsid w:val="009B15CE"/>
    <w:rsid w:val="009B345B"/>
    <w:rsid w:val="009B7D80"/>
    <w:rsid w:val="009C3FA9"/>
    <w:rsid w:val="009D19AB"/>
    <w:rsid w:val="009D6ADB"/>
    <w:rsid w:val="009E168D"/>
    <w:rsid w:val="009F779D"/>
    <w:rsid w:val="00A03394"/>
    <w:rsid w:val="00A20293"/>
    <w:rsid w:val="00A2086B"/>
    <w:rsid w:val="00A42026"/>
    <w:rsid w:val="00A57640"/>
    <w:rsid w:val="00A929AE"/>
    <w:rsid w:val="00A92C6B"/>
    <w:rsid w:val="00A94A1A"/>
    <w:rsid w:val="00A965FA"/>
    <w:rsid w:val="00AA3F7E"/>
    <w:rsid w:val="00AB325C"/>
    <w:rsid w:val="00AE3D6F"/>
    <w:rsid w:val="00B242CE"/>
    <w:rsid w:val="00B26C13"/>
    <w:rsid w:val="00B33EEE"/>
    <w:rsid w:val="00B33FE7"/>
    <w:rsid w:val="00B73B62"/>
    <w:rsid w:val="00B76793"/>
    <w:rsid w:val="00B87BA5"/>
    <w:rsid w:val="00B93F2D"/>
    <w:rsid w:val="00B94839"/>
    <w:rsid w:val="00BB2B35"/>
    <w:rsid w:val="00BB7196"/>
    <w:rsid w:val="00BD6F7E"/>
    <w:rsid w:val="00C06DBE"/>
    <w:rsid w:val="00C44E41"/>
    <w:rsid w:val="00C567D9"/>
    <w:rsid w:val="00C60D13"/>
    <w:rsid w:val="00C62A8C"/>
    <w:rsid w:val="00C72D2D"/>
    <w:rsid w:val="00C87376"/>
    <w:rsid w:val="00C91A86"/>
    <w:rsid w:val="00C91DED"/>
    <w:rsid w:val="00CA60C1"/>
    <w:rsid w:val="00CA665B"/>
    <w:rsid w:val="00CB07DD"/>
    <w:rsid w:val="00CB1952"/>
    <w:rsid w:val="00CC034A"/>
    <w:rsid w:val="00CD3E31"/>
    <w:rsid w:val="00CE2071"/>
    <w:rsid w:val="00CF7F18"/>
    <w:rsid w:val="00D01882"/>
    <w:rsid w:val="00D20908"/>
    <w:rsid w:val="00D22ADC"/>
    <w:rsid w:val="00D43B25"/>
    <w:rsid w:val="00D563BC"/>
    <w:rsid w:val="00D66EE7"/>
    <w:rsid w:val="00D73775"/>
    <w:rsid w:val="00D80954"/>
    <w:rsid w:val="00D95C4E"/>
    <w:rsid w:val="00D97A17"/>
    <w:rsid w:val="00DA3599"/>
    <w:rsid w:val="00DB227E"/>
    <w:rsid w:val="00DD6076"/>
    <w:rsid w:val="00DE6E4F"/>
    <w:rsid w:val="00DF45E0"/>
    <w:rsid w:val="00E05CCC"/>
    <w:rsid w:val="00E15EF4"/>
    <w:rsid w:val="00E177E5"/>
    <w:rsid w:val="00E22959"/>
    <w:rsid w:val="00E25941"/>
    <w:rsid w:val="00E301B2"/>
    <w:rsid w:val="00E3160B"/>
    <w:rsid w:val="00E409A8"/>
    <w:rsid w:val="00E42016"/>
    <w:rsid w:val="00E47725"/>
    <w:rsid w:val="00E835A0"/>
    <w:rsid w:val="00E95550"/>
    <w:rsid w:val="00EB261D"/>
    <w:rsid w:val="00EB7738"/>
    <w:rsid w:val="00EE097C"/>
    <w:rsid w:val="00EE3EE1"/>
    <w:rsid w:val="00EE59FA"/>
    <w:rsid w:val="00EE6CE0"/>
    <w:rsid w:val="00EE749C"/>
    <w:rsid w:val="00EF34DA"/>
    <w:rsid w:val="00EF7BD5"/>
    <w:rsid w:val="00F073D1"/>
    <w:rsid w:val="00F14D24"/>
    <w:rsid w:val="00F231B6"/>
    <w:rsid w:val="00F318D9"/>
    <w:rsid w:val="00F47A5F"/>
    <w:rsid w:val="00F90AF7"/>
    <w:rsid w:val="00FA31DB"/>
    <w:rsid w:val="00FB139F"/>
    <w:rsid w:val="00FE68F1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6"/>
    <o:shapelayout v:ext="edit">
      <o:idmap v:ext="edit" data="1"/>
    </o:shapelayout>
  </w:shapeDefaults>
  <w:decimalSymbol w:val=","/>
  <w:listSeparator w:val=";"/>
  <w14:docId w14:val="6C0A4C8C"/>
  <w15:chartTrackingRefBased/>
  <w15:docId w15:val="{17CD517A-FC1F-4018-91C1-341E6CC9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qFormat/>
    <w:rsid w:val="00D20908"/>
    <w:pPr>
      <w:spacing w:before="100" w:beforeAutospacing="1" w:after="100" w:afterAutospacing="1"/>
      <w:outlineLvl w:val="1"/>
    </w:pPr>
    <w:rPr>
      <w:b/>
      <w:bCs/>
      <w:sz w:val="36"/>
      <w:szCs w:val="36"/>
      <w:lang w:eastAsia="fr-CA"/>
    </w:rPr>
  </w:style>
  <w:style w:type="paragraph" w:styleId="Titre3">
    <w:name w:val="heading 3"/>
    <w:basedOn w:val="Normal"/>
    <w:qFormat/>
    <w:rsid w:val="00D20908"/>
    <w:pPr>
      <w:spacing w:before="100" w:beforeAutospacing="1" w:after="100" w:afterAutospacing="1"/>
      <w:outlineLvl w:val="2"/>
    </w:pPr>
    <w:rPr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date">
    <w:name w:val="entry-date"/>
    <w:basedOn w:val="Policepardfaut"/>
    <w:rsid w:val="00D20908"/>
  </w:style>
  <w:style w:type="paragraph" w:customStyle="1" w:styleId="entry-cat">
    <w:name w:val="entry-cat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ienhypertexte">
    <w:name w:val="Hyperlink"/>
    <w:rsid w:val="00D20908"/>
    <w:rPr>
      <w:color w:val="0000FF"/>
      <w:u w:val="single"/>
    </w:rPr>
  </w:style>
  <w:style w:type="character" w:customStyle="1" w:styleId="meta-sep">
    <w:name w:val="meta-sep"/>
    <w:basedOn w:val="Policepardfaut"/>
    <w:rsid w:val="00D20908"/>
  </w:style>
  <w:style w:type="character" w:customStyle="1" w:styleId="apple-converted-space">
    <w:name w:val="apple-converted-space"/>
    <w:basedOn w:val="Policepardfaut"/>
    <w:rsid w:val="00D20908"/>
  </w:style>
  <w:style w:type="character" w:customStyle="1" w:styleId="authorvcard">
    <w:name w:val="author vcard"/>
    <w:basedOn w:val="Policepardfaut"/>
    <w:rsid w:val="00D20908"/>
  </w:style>
  <w:style w:type="paragraph" w:styleId="NormalWeb">
    <w:name w:val="Normal (Web)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ev">
    <w:name w:val="Strong"/>
    <w:qFormat/>
    <w:rsid w:val="00D20908"/>
    <w:rPr>
      <w:b/>
      <w:bCs/>
    </w:rPr>
  </w:style>
  <w:style w:type="paragraph" w:styleId="En-tte">
    <w:name w:val="header"/>
    <w:basedOn w:val="Normal"/>
    <w:rsid w:val="00040B4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40B46"/>
  </w:style>
  <w:style w:type="paragraph" w:styleId="Notedebasdepage">
    <w:name w:val="footnote text"/>
    <w:basedOn w:val="Normal"/>
    <w:semiHidden/>
    <w:rsid w:val="00996811"/>
    <w:rPr>
      <w:sz w:val="20"/>
      <w:szCs w:val="20"/>
    </w:rPr>
  </w:style>
  <w:style w:type="character" w:styleId="Appelnotedebasdep">
    <w:name w:val="footnote reference"/>
    <w:semiHidden/>
    <w:rsid w:val="00996811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B33E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B33EEE"/>
    <w:rPr>
      <w:sz w:val="24"/>
      <w:szCs w:val="24"/>
      <w:lang w:eastAsia="fr-FR"/>
    </w:rPr>
  </w:style>
  <w:style w:type="paragraph" w:styleId="Textedebulles">
    <w:name w:val="Balloon Text"/>
    <w:basedOn w:val="Normal"/>
    <w:semiHidden/>
    <w:rsid w:val="004E6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1012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MJQ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JGSCS27</dc:creator>
  <cp:keywords/>
  <dc:description/>
  <cp:lastModifiedBy>Hélène Routhier</cp:lastModifiedBy>
  <cp:revision>12</cp:revision>
  <cp:lastPrinted>2020-05-12T18:11:00Z</cp:lastPrinted>
  <dcterms:created xsi:type="dcterms:W3CDTF">2020-04-20T15:47:00Z</dcterms:created>
  <dcterms:modified xsi:type="dcterms:W3CDTF">2024-01-08T16:03:00Z</dcterms:modified>
</cp:coreProperties>
</file>