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442C922F" w:rsidR="00D50800" w:rsidRDefault="00D50800" w:rsidP="002336EA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AC331A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hambre</w:t>
            </w:r>
            <w:r w:rsidR="002336EA">
              <w:rPr>
                <w:rFonts w:cs="Arial"/>
                <w:sz w:val="22"/>
                <w:szCs w:val="22"/>
              </w:rPr>
              <w:t xml:space="preserve"> de la famille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763ED111" w:rsidR="00D50800" w:rsidRDefault="00AC331A" w:rsidP="00DB3DB6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DISTRICT D’ABITIBI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77777777" w:rsidR="00A71B7B" w:rsidRPr="00D50800" w:rsidRDefault="00A71B7B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 w:rsidRPr="00D50800">
        <w:rPr>
          <w:rFonts w:cs="Arial"/>
          <w:b/>
          <w:bCs/>
          <w:caps/>
          <w:kern w:val="28"/>
          <w:sz w:val="22"/>
          <w:szCs w:val="22"/>
        </w:rPr>
        <w:t>NOUVEL Avis de présentation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1C01FF8F" w14:textId="77777777" w:rsidR="003C4ACE" w:rsidRPr="00D50800" w:rsidRDefault="003C4ACE" w:rsidP="00AB70F8">
      <w:pPr>
        <w:ind w:right="922"/>
        <w:jc w:val="both"/>
        <w:rPr>
          <w:rFonts w:cs="Arial"/>
          <w:sz w:val="22"/>
          <w:szCs w:val="22"/>
        </w:rPr>
      </w:pPr>
    </w:p>
    <w:p w14:paraId="13B5DB6E" w14:textId="77777777" w:rsidR="00A71B7B" w:rsidRPr="00D50800" w:rsidRDefault="00A71B7B" w:rsidP="00A71B7B">
      <w:pPr>
        <w:ind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sz w:val="22"/>
          <w:szCs w:val="22"/>
        </w:rPr>
        <w:t>À :</w:t>
      </w:r>
      <w:r w:rsidRPr="00D50800">
        <w:rPr>
          <w:rFonts w:cs="Arial"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Me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42AFD391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6E543BE3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bookmarkStart w:id="0" w:name="Texte183"/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bookmarkEnd w:id="0"/>
    </w:p>
    <w:p w14:paraId="308A67FB" w14:textId="624E8141" w:rsidR="00A71B7B" w:rsidRPr="00D50800" w:rsidRDefault="00AC331A" w:rsidP="00A71B7B">
      <w:pPr>
        <w:ind w:left="708" w:right="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</w:t>
      </w:r>
      <w:r w:rsidR="00A71B7B" w:rsidRPr="00D50800">
        <w:rPr>
          <w:rFonts w:cs="Arial"/>
          <w:bCs/>
          <w:sz w:val="22"/>
          <w:szCs w:val="22"/>
        </w:rPr>
        <w:t xml:space="preserve">ourriel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48C3CD0B" w14:textId="35AADD9E" w:rsidR="00A71B7B" w:rsidRPr="00D50800" w:rsidRDefault="00AC331A" w:rsidP="00A71B7B">
      <w:pPr>
        <w:ind w:left="708" w:right="922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="00A71B7B" w:rsidRPr="00D50800">
        <w:rPr>
          <w:rFonts w:cs="Arial"/>
          <w:bCs/>
          <w:sz w:val="22"/>
          <w:szCs w:val="22"/>
        </w:rPr>
        <w:t xml:space="preserve">éléphone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1A9DF611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38F5A033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420F9CF1" w14:textId="77777777" w:rsidR="00D03A72" w:rsidRPr="00E975B0" w:rsidRDefault="00D03A72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APPEL DU RÔLE PROVISOIRE PAR CONFÉRENCE TÉLÉPHONIQUE </w:t>
      </w:r>
    </w:p>
    <w:p w14:paraId="6C04B046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AEB6EC2" w14:textId="5D74D474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qu’un appel du rôle provisoire par conférence téléphonique aura lieu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86461D">
        <w:rPr>
          <w:rFonts w:cs="Arial"/>
          <w:b/>
          <w:sz w:val="22"/>
          <w:szCs w:val="22"/>
        </w:rPr>
        <w:t>2</w:t>
      </w:r>
      <w:r w:rsidR="00553453">
        <w:rPr>
          <w:rFonts w:cs="Arial"/>
          <w:b/>
          <w:sz w:val="22"/>
          <w:szCs w:val="22"/>
        </w:rPr>
        <w:t>2</w:t>
      </w:r>
      <w:r w:rsidRPr="00D50800">
        <w:rPr>
          <w:rFonts w:cs="Arial"/>
          <w:b/>
          <w:sz w:val="22"/>
          <w:szCs w:val="22"/>
        </w:rPr>
        <w:t xml:space="preserve"> à 13</w:t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="00DB3DB6">
        <w:rPr>
          <w:rFonts w:cs="Arial"/>
          <w:b/>
          <w:sz w:val="22"/>
          <w:szCs w:val="22"/>
        </w:rPr>
        <w:t>15</w:t>
      </w:r>
      <w:r w:rsidRPr="00D50800">
        <w:rPr>
          <w:rFonts w:cs="Arial"/>
          <w:b/>
          <w:sz w:val="22"/>
          <w:szCs w:val="22"/>
        </w:rPr>
        <w:t>.</w:t>
      </w:r>
    </w:p>
    <w:p w14:paraId="0504CFBD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24A22F2C" w14:textId="2395871D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Lors de cet appel du rôle, si le dossier est complet, vous </w:t>
      </w:r>
      <w:r w:rsidR="00C87DCA">
        <w:rPr>
          <w:rFonts w:cs="Arial"/>
          <w:sz w:val="22"/>
          <w:szCs w:val="22"/>
        </w:rPr>
        <w:t>devez</w:t>
      </w:r>
      <w:r w:rsidRPr="00D50800">
        <w:rPr>
          <w:rFonts w:cs="Arial"/>
          <w:sz w:val="22"/>
          <w:szCs w:val="22"/>
        </w:rPr>
        <w:t xml:space="preserve"> indiquer le temps requis pour la présentation </w:t>
      </w:r>
      <w:r w:rsidR="00AD068B">
        <w:rPr>
          <w:rFonts w:cs="Arial"/>
          <w:sz w:val="22"/>
          <w:szCs w:val="22"/>
        </w:rPr>
        <w:t xml:space="preserve">de la demande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datée du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</w:t>
      </w:r>
      <w:r w:rsidR="00987A6D">
        <w:rPr>
          <w:rFonts w:cs="Arial"/>
          <w:sz w:val="22"/>
          <w:szCs w:val="22"/>
        </w:rPr>
        <w:t xml:space="preserve">et des autres demandes </w:t>
      </w:r>
      <w:r w:rsidR="00AD068B">
        <w:rPr>
          <w:rFonts w:cs="Arial"/>
          <w:sz w:val="22"/>
          <w:szCs w:val="22"/>
        </w:rPr>
        <w:t>devant être entendue</w:t>
      </w:r>
      <w:r w:rsidR="00AC331A">
        <w:rPr>
          <w:rFonts w:cs="Arial"/>
          <w:sz w:val="22"/>
          <w:szCs w:val="22"/>
        </w:rPr>
        <w:t>s par le T</w:t>
      </w:r>
      <w:r w:rsidR="00987A6D">
        <w:rPr>
          <w:rFonts w:cs="Arial"/>
          <w:sz w:val="22"/>
          <w:szCs w:val="22"/>
        </w:rPr>
        <w:t>ribunal</w:t>
      </w:r>
      <w:r w:rsidR="00C87DCA">
        <w:rPr>
          <w:rFonts w:cs="Arial"/>
          <w:sz w:val="22"/>
          <w:szCs w:val="22"/>
        </w:rPr>
        <w:t xml:space="preserve"> le jour suivant</w:t>
      </w:r>
      <w:r w:rsidRPr="00D50800">
        <w:rPr>
          <w:rFonts w:cs="Arial"/>
          <w:sz w:val="22"/>
          <w:szCs w:val="22"/>
        </w:rPr>
        <w:t>, et ce, en</w:t>
      </w:r>
      <w:r w:rsidR="00AC331A">
        <w:rPr>
          <w:rFonts w:cs="Arial"/>
          <w:sz w:val="22"/>
          <w:szCs w:val="22"/>
        </w:rPr>
        <w:t xml:space="preserve"> conformité avec la directive de la juge coordonnatrice </w:t>
      </w:r>
      <w:r w:rsidRPr="00D50800">
        <w:rPr>
          <w:rFonts w:cs="Arial"/>
          <w:sz w:val="22"/>
          <w:szCs w:val="22"/>
        </w:rPr>
        <w:t xml:space="preserve">de la Cour supérieure du district </w:t>
      </w:r>
      <w:r w:rsidR="006D0E1F">
        <w:rPr>
          <w:rFonts w:cs="Arial"/>
          <w:sz w:val="22"/>
          <w:szCs w:val="22"/>
        </w:rPr>
        <w:t>d</w:t>
      </w:r>
      <w:r w:rsidR="00AC331A">
        <w:rPr>
          <w:rFonts w:cs="Arial"/>
          <w:sz w:val="22"/>
          <w:szCs w:val="22"/>
        </w:rPr>
        <w:t>’Abitibi (</w:t>
      </w:r>
      <w:r w:rsidR="00553453">
        <w:rPr>
          <w:rFonts w:cs="Arial"/>
          <w:sz w:val="22"/>
          <w:szCs w:val="22"/>
        </w:rPr>
        <w:t>Chibougamau</w:t>
      </w:r>
      <w:r w:rsidR="00AC331A">
        <w:rPr>
          <w:rFonts w:cs="Arial"/>
          <w:sz w:val="22"/>
          <w:szCs w:val="22"/>
        </w:rPr>
        <w:t xml:space="preserve">). </w:t>
      </w:r>
    </w:p>
    <w:p w14:paraId="7CF87695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62EA3CE5" w14:textId="1492D878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Pour assister à l’appel du rôle provisoire, vous devez </w:t>
      </w:r>
      <w:r w:rsidR="00ED1EBA" w:rsidRPr="00D50800">
        <w:rPr>
          <w:rFonts w:cs="Arial"/>
          <w:sz w:val="22"/>
          <w:szCs w:val="22"/>
        </w:rPr>
        <w:t>composer le numéro de téléphone </w:t>
      </w:r>
      <w:r w:rsidR="0086461D" w:rsidRPr="008317F3">
        <w:rPr>
          <w:b/>
          <w:sz w:val="22"/>
          <w:szCs w:val="22"/>
        </w:rPr>
        <w:t>1</w:t>
      </w:r>
      <w:r w:rsidR="0086461D" w:rsidRPr="00A54DDD">
        <w:rPr>
          <w:b/>
          <w:sz w:val="22"/>
          <w:szCs w:val="22"/>
        </w:rPr>
        <w:noBreakHyphen/>
        <w:t>833-450-1741</w:t>
      </w:r>
      <w:r w:rsidR="00B04167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sz w:val="22"/>
          <w:szCs w:val="22"/>
        </w:rPr>
        <w:t>et joindre la conférence télé</w:t>
      </w:r>
      <w:r w:rsidR="00ED1EBA" w:rsidRPr="00D50800">
        <w:rPr>
          <w:rFonts w:cs="Arial"/>
          <w:sz w:val="22"/>
          <w:szCs w:val="22"/>
        </w:rPr>
        <w:t xml:space="preserve">phonique </w:t>
      </w:r>
      <w:r w:rsidR="0086461D">
        <w:rPr>
          <w:rFonts w:cs="Arial"/>
          <w:sz w:val="22"/>
          <w:szCs w:val="22"/>
        </w:rPr>
        <w:t xml:space="preserve">TEAMS </w:t>
      </w:r>
      <w:r w:rsidR="00ED1EBA" w:rsidRPr="00D50800">
        <w:rPr>
          <w:rFonts w:cs="Arial"/>
          <w:sz w:val="22"/>
          <w:szCs w:val="22"/>
        </w:rPr>
        <w:t xml:space="preserve">en composant le </w:t>
      </w:r>
      <w:r w:rsidR="00AC331A" w:rsidRPr="00D50800">
        <w:rPr>
          <w:rFonts w:cs="Arial"/>
          <w:sz w:val="22"/>
          <w:szCs w:val="22"/>
        </w:rPr>
        <w:t>numéro</w:t>
      </w:r>
      <w:r w:rsidR="00AC331A">
        <w:rPr>
          <w:rFonts w:cs="Arial"/>
          <w:sz w:val="22"/>
          <w:szCs w:val="22"/>
        </w:rPr>
        <w:t xml:space="preserve"> </w:t>
      </w:r>
      <w:r w:rsidR="00553453" w:rsidRPr="00553453">
        <w:rPr>
          <w:rFonts w:cs="Arial"/>
          <w:b/>
          <w:sz w:val="22"/>
          <w:szCs w:val="22"/>
        </w:rPr>
        <w:t>428 064 751</w:t>
      </w:r>
      <w:r w:rsidR="00AC331A" w:rsidRPr="00553453">
        <w:rPr>
          <w:rFonts w:cs="Arial"/>
          <w:b/>
          <w:sz w:val="22"/>
          <w:szCs w:val="22"/>
        </w:rPr>
        <w:t>#</w:t>
      </w:r>
      <w:r w:rsidR="00AC331A">
        <w:rPr>
          <w:rFonts w:cs="Arial"/>
          <w:sz w:val="22"/>
          <w:szCs w:val="22"/>
        </w:rPr>
        <w:t>,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cinq (5) minutes avant l’heure prévue pour la conférence téléphonique</w:t>
      </w:r>
      <w:r w:rsidR="00AC331A">
        <w:rPr>
          <w:rFonts w:cs="Arial"/>
          <w:sz w:val="22"/>
          <w:szCs w:val="22"/>
        </w:rPr>
        <w:t xml:space="preserve">. Celle-ci sera présidée par la greffière spéciale </w:t>
      </w:r>
      <w:r w:rsidRPr="00D50800">
        <w:rPr>
          <w:rFonts w:cs="Arial"/>
          <w:sz w:val="22"/>
          <w:szCs w:val="22"/>
        </w:rPr>
        <w:t>de la Cour supérieure.</w:t>
      </w:r>
    </w:p>
    <w:p w14:paraId="4F2F0651" w14:textId="77777777" w:rsidR="00F538E8" w:rsidRPr="00D50800" w:rsidRDefault="00F538E8" w:rsidP="000F19B4">
      <w:pPr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br w:type="page"/>
      </w:r>
    </w:p>
    <w:p w14:paraId="5A12253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529CBDB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2F7E381F" w14:textId="77777777" w:rsidR="00D03A72" w:rsidRPr="00E975B0" w:rsidRDefault="00F538E8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NOUVELLE </w:t>
      </w:r>
      <w:r w:rsidR="00D03A72" w:rsidRPr="00E975B0">
        <w:rPr>
          <w:rFonts w:cs="Arial"/>
          <w:b/>
          <w:sz w:val="22"/>
          <w:szCs w:val="22"/>
          <w:u w:val="single"/>
        </w:rPr>
        <w:t>PRÉSENTATION DE LA DEMANDE</w:t>
      </w:r>
    </w:p>
    <w:p w14:paraId="183BD38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4A2DD853" w14:textId="6D7A13CF" w:rsidR="00D03A72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qu’à la suite de l’appel du rôle provisoire, la demande</w:t>
      </w:r>
      <w:r w:rsidR="00F538E8" w:rsidRPr="00D50800">
        <w:rPr>
          <w:rFonts w:cs="Arial"/>
          <w:sz w:val="22"/>
          <w:szCs w:val="22"/>
        </w:rPr>
        <w:t xml:space="preserve"> 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="000F19B4" w:rsidRPr="00D50800">
        <w:rPr>
          <w:rFonts w:cs="Arial"/>
          <w:color w:val="000000"/>
          <w:sz w:val="22"/>
          <w:szCs w:val="22"/>
        </w:rPr>
        <w:t xml:space="preserve"> datée du 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>, si elle n’a pas été remise à une date ultérieure, sera</w:t>
      </w:r>
      <w:r w:rsidR="00F538E8" w:rsidRPr="00D50800">
        <w:rPr>
          <w:rFonts w:cs="Arial"/>
          <w:sz w:val="22"/>
          <w:szCs w:val="22"/>
        </w:rPr>
        <w:t xml:space="preserve"> de nouveau </w:t>
      </w:r>
      <w:r w:rsidRPr="00D50800">
        <w:rPr>
          <w:rFonts w:cs="Arial"/>
          <w:sz w:val="22"/>
          <w:szCs w:val="22"/>
        </w:rPr>
        <w:t>présentée en division de pratique de la Cour supérieure, en salle </w:t>
      </w:r>
      <w:r w:rsidR="0086461D">
        <w:rPr>
          <w:rFonts w:cs="Arial"/>
          <w:sz w:val="22"/>
          <w:szCs w:val="22"/>
        </w:rPr>
        <w:t>1.0</w:t>
      </w:r>
      <w:r w:rsidR="00AC331A">
        <w:rPr>
          <w:rFonts w:cs="Arial"/>
          <w:sz w:val="22"/>
          <w:szCs w:val="22"/>
        </w:rPr>
        <w:t>2</w:t>
      </w:r>
      <w:r w:rsidRPr="00CA2742">
        <w:rPr>
          <w:rFonts w:cs="Arial"/>
          <w:sz w:val="22"/>
          <w:szCs w:val="22"/>
        </w:rPr>
        <w:t xml:space="preserve"> du palais de justice </w:t>
      </w:r>
      <w:r w:rsidR="00B04167" w:rsidRPr="00CA2742">
        <w:rPr>
          <w:rFonts w:cs="Arial"/>
          <w:sz w:val="22"/>
          <w:szCs w:val="22"/>
        </w:rPr>
        <w:t xml:space="preserve">de </w:t>
      </w:r>
      <w:r w:rsidR="00AC331A">
        <w:rPr>
          <w:rFonts w:cs="Arial"/>
          <w:sz w:val="22"/>
          <w:szCs w:val="22"/>
        </w:rPr>
        <w:t xml:space="preserve">Val-d’Or </w:t>
      </w:r>
      <w:r w:rsidRPr="00CA2742">
        <w:rPr>
          <w:rFonts w:cs="Arial"/>
          <w:sz w:val="22"/>
          <w:szCs w:val="22"/>
        </w:rPr>
        <w:t>(</w:t>
      </w:r>
      <w:r w:rsidR="00AC331A">
        <w:rPr>
          <w:rFonts w:cs="Arial"/>
          <w:sz w:val="22"/>
          <w:szCs w:val="22"/>
        </w:rPr>
        <w:t>900, 7</w:t>
      </w:r>
      <w:r w:rsidR="00AC331A" w:rsidRPr="00AC331A">
        <w:rPr>
          <w:rFonts w:cs="Arial"/>
          <w:sz w:val="22"/>
          <w:szCs w:val="22"/>
          <w:vertAlign w:val="superscript"/>
        </w:rPr>
        <w:t>ième</w:t>
      </w:r>
      <w:r w:rsidR="00AC331A">
        <w:rPr>
          <w:rFonts w:cs="Arial"/>
          <w:sz w:val="22"/>
          <w:szCs w:val="22"/>
        </w:rPr>
        <w:t xml:space="preserve"> Rue, Val-d’Or</w:t>
      </w:r>
      <w:r w:rsidR="00F538E8" w:rsidRPr="00CA2742">
        <w:rPr>
          <w:rFonts w:cs="Arial"/>
          <w:sz w:val="22"/>
          <w:szCs w:val="22"/>
        </w:rPr>
        <w:t>, Québec),</w:t>
      </w:r>
      <w:r w:rsidR="00F538E8" w:rsidRPr="00D50800">
        <w:rPr>
          <w:rFonts w:cs="Arial"/>
          <w:sz w:val="22"/>
          <w:szCs w:val="22"/>
        </w:rPr>
        <w:t xml:space="preserve">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color w:val="000000"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86461D">
        <w:rPr>
          <w:rFonts w:cs="Arial"/>
          <w:b/>
          <w:sz w:val="22"/>
          <w:szCs w:val="22"/>
        </w:rPr>
        <w:t>2</w:t>
      </w:r>
      <w:r w:rsidR="007F2859">
        <w:rPr>
          <w:rFonts w:cs="Arial"/>
          <w:b/>
          <w:sz w:val="22"/>
          <w:szCs w:val="22"/>
        </w:rPr>
        <w:t>2</w:t>
      </w:r>
      <w:r w:rsidRPr="00D50800">
        <w:rPr>
          <w:rFonts w:cs="Arial"/>
          <w:b/>
          <w:sz w:val="22"/>
          <w:szCs w:val="22"/>
        </w:rPr>
        <w:t xml:space="preserve"> à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9</w:t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Pr="00D50800">
        <w:rPr>
          <w:rFonts w:cs="Arial"/>
          <w:sz w:val="22"/>
          <w:szCs w:val="22"/>
        </w:rPr>
        <w:t xml:space="preserve"> ou aussitôt que conseil pourra être entendu.</w:t>
      </w:r>
    </w:p>
    <w:p w14:paraId="6792873F" w14:textId="77777777" w:rsidR="0086461D" w:rsidRDefault="0086461D" w:rsidP="007207A0">
      <w:pPr>
        <w:ind w:left="567"/>
        <w:jc w:val="both"/>
        <w:rPr>
          <w:rFonts w:cs="Arial"/>
          <w:sz w:val="22"/>
          <w:szCs w:val="22"/>
        </w:rPr>
      </w:pPr>
    </w:p>
    <w:p w14:paraId="6C31209B" w14:textId="608734C8" w:rsidR="0086461D" w:rsidRDefault="007F2859" w:rsidP="0086461D">
      <w:pPr>
        <w:ind w:left="567"/>
        <w:rPr>
          <w:sz w:val="20"/>
        </w:rPr>
      </w:pPr>
      <w:r>
        <w:rPr>
          <w:sz w:val="22"/>
          <w:szCs w:val="22"/>
        </w:rPr>
        <w:t>Pour joindre la s</w:t>
      </w:r>
      <w:r w:rsidR="0086461D">
        <w:rPr>
          <w:sz w:val="22"/>
          <w:szCs w:val="22"/>
        </w:rPr>
        <w:t>alle virtuelle de la cour de pratique familiale le lien TEAMS est le suivant :</w:t>
      </w:r>
      <w:r w:rsidR="0086461D" w:rsidRPr="00526F0B">
        <w:rPr>
          <w:sz w:val="20"/>
        </w:rPr>
        <w:t xml:space="preserve"> </w:t>
      </w:r>
    </w:p>
    <w:p w14:paraId="3E00B78B" w14:textId="26C0B40A" w:rsidR="00553453" w:rsidRDefault="00553453" w:rsidP="0086461D">
      <w:pPr>
        <w:ind w:left="567"/>
        <w:rPr>
          <w:rStyle w:val="Lienhypertexte"/>
          <w:rFonts w:ascii="Verdana" w:hAnsi="Verdana"/>
          <w:sz w:val="20"/>
        </w:rPr>
      </w:pPr>
      <w:hyperlink r:id="rId7" w:history="1">
        <w:r w:rsidRPr="002932FF">
          <w:rPr>
            <w:rStyle w:val="Lienhypertexte"/>
            <w:rFonts w:ascii="Verdana" w:hAnsi="Verdana"/>
            <w:sz w:val="20"/>
          </w:rPr>
          <w:t>https://url.justice.gouv.qc.ca/HmF15</w:t>
        </w:r>
      </w:hyperlink>
      <w:r>
        <w:rPr>
          <w:rStyle w:val="Lienhypertexte"/>
          <w:rFonts w:ascii="Verdana" w:hAnsi="Verdana"/>
          <w:sz w:val="20"/>
          <w:u w:val="none"/>
        </w:rPr>
        <w:t xml:space="preserve">. </w:t>
      </w:r>
      <w:r>
        <w:rPr>
          <w:rStyle w:val="Lienhypertexte"/>
          <w:rFonts w:ascii="Verdana" w:hAnsi="Verdana"/>
          <w:sz w:val="20"/>
        </w:rPr>
        <w:t xml:space="preserve"> </w:t>
      </w:r>
    </w:p>
    <w:p w14:paraId="33A5B509" w14:textId="77777777" w:rsidR="0086461D" w:rsidRPr="002336EA" w:rsidRDefault="0086461D" w:rsidP="0086461D">
      <w:pPr>
        <w:ind w:left="567"/>
        <w:rPr>
          <w:rFonts w:ascii="Verdana" w:hAnsi="Verdana"/>
          <w:sz w:val="22"/>
          <w:szCs w:val="22"/>
        </w:rPr>
      </w:pPr>
    </w:p>
    <w:p w14:paraId="33BCC9E1" w14:textId="2F0EFE07" w:rsidR="0086461D" w:rsidRPr="007F2859" w:rsidRDefault="0086461D" w:rsidP="0086461D">
      <w:pPr>
        <w:ind w:left="567"/>
        <w:rPr>
          <w:sz w:val="22"/>
          <w:szCs w:val="22"/>
        </w:rPr>
      </w:pPr>
      <w:commentRangeStart w:id="1"/>
      <w:r w:rsidRPr="007F2859">
        <w:rPr>
          <w:sz w:val="22"/>
          <w:szCs w:val="22"/>
        </w:rPr>
        <w:t>Si l’affaire devait être entendue en salle virtuelle, vous devez prendre connaissance des conditions qui s’y appliquent. Le lien afin d’obtenir les Directives pour la salle virtuelle pour le district d</w:t>
      </w:r>
      <w:r w:rsidR="00821A44" w:rsidRPr="007F2859">
        <w:rPr>
          <w:sz w:val="22"/>
          <w:szCs w:val="22"/>
        </w:rPr>
        <w:t>’Abitibi (</w:t>
      </w:r>
      <w:r w:rsidR="00553453">
        <w:rPr>
          <w:sz w:val="22"/>
          <w:szCs w:val="22"/>
        </w:rPr>
        <w:t>Chibougamau</w:t>
      </w:r>
      <w:r w:rsidR="00821A44" w:rsidRPr="007F2859">
        <w:rPr>
          <w:sz w:val="22"/>
          <w:szCs w:val="22"/>
        </w:rPr>
        <w:t xml:space="preserve">) </w:t>
      </w:r>
      <w:r w:rsidRPr="007F2859">
        <w:rPr>
          <w:sz w:val="22"/>
          <w:szCs w:val="22"/>
        </w:rPr>
        <w:t>est le suivant :</w:t>
      </w:r>
    </w:p>
    <w:p w14:paraId="771EF4EE" w14:textId="77777777" w:rsidR="0086461D" w:rsidRPr="007F2859" w:rsidRDefault="0086461D" w:rsidP="0086461D">
      <w:pPr>
        <w:ind w:left="567"/>
        <w:rPr>
          <w:sz w:val="22"/>
          <w:szCs w:val="22"/>
        </w:rPr>
      </w:pPr>
      <w:bookmarkStart w:id="2" w:name="_GoBack"/>
      <w:bookmarkEnd w:id="2"/>
    </w:p>
    <w:p w14:paraId="6C99820B" w14:textId="122AFE4E" w:rsidR="0086461D" w:rsidRPr="007F2859" w:rsidRDefault="00553453" w:rsidP="008317F3">
      <w:pPr>
        <w:ind w:left="720" w:hanging="180"/>
        <w:rPr>
          <w:sz w:val="22"/>
          <w:szCs w:val="22"/>
        </w:rPr>
      </w:pPr>
      <w:hyperlink r:id="rId8" w:history="1">
        <w:r w:rsidR="0086461D" w:rsidRPr="007F2859">
          <w:rPr>
            <w:rStyle w:val="Lienhypertexte"/>
          </w:rPr>
          <w:t>http://tribunaux.qc.ca/mjq_en/c-supe</w:t>
        </w:r>
        <w:r w:rsidR="0086461D" w:rsidRPr="007F2859">
          <w:rPr>
            <w:rStyle w:val="Lienhypertexte"/>
          </w:rPr>
          <w:t>r</w:t>
        </w:r>
        <w:r w:rsidR="0086461D" w:rsidRPr="007F2859">
          <w:rPr>
            <w:rStyle w:val="Lienhypertexte"/>
          </w:rPr>
          <w:t>ieure/index-cs.html</w:t>
        </w:r>
      </w:hyperlink>
      <w:r>
        <w:rPr>
          <w:sz w:val="22"/>
          <w:szCs w:val="22"/>
        </w:rPr>
        <w:t xml:space="preserve">. </w:t>
      </w:r>
    </w:p>
    <w:p w14:paraId="79A7466B" w14:textId="77777777" w:rsidR="0086461D" w:rsidRPr="007F2859" w:rsidRDefault="0086461D" w:rsidP="0086461D">
      <w:pPr>
        <w:ind w:left="706"/>
        <w:rPr>
          <w:sz w:val="22"/>
          <w:szCs w:val="22"/>
        </w:rPr>
      </w:pPr>
    </w:p>
    <w:p w14:paraId="581EE0DF" w14:textId="4BC4DA7B" w:rsidR="0086461D" w:rsidRPr="00785758" w:rsidRDefault="0086461D" w:rsidP="008317F3">
      <w:pPr>
        <w:ind w:left="540"/>
        <w:rPr>
          <w:sz w:val="22"/>
          <w:szCs w:val="22"/>
        </w:rPr>
      </w:pPr>
      <w:r w:rsidRPr="007F2859">
        <w:rPr>
          <w:sz w:val="22"/>
          <w:szCs w:val="22"/>
        </w:rPr>
        <w:t>Sous la section « </w:t>
      </w:r>
      <w:r w:rsidRPr="007F2859">
        <w:rPr>
          <w:i/>
          <w:sz w:val="22"/>
          <w:szCs w:val="22"/>
        </w:rPr>
        <w:t>Division de Québec »</w:t>
      </w:r>
      <w:r w:rsidRPr="007F2859">
        <w:rPr>
          <w:sz w:val="22"/>
          <w:szCs w:val="22"/>
        </w:rPr>
        <w:t>, vous devrez ensuite sélectionner « </w:t>
      </w:r>
      <w:r w:rsidRPr="007F2859">
        <w:rPr>
          <w:sz w:val="22"/>
          <w:szCs w:val="22"/>
          <w:u w:val="single"/>
        </w:rPr>
        <w:t>Districts judiciaires</w:t>
      </w:r>
      <w:r w:rsidRPr="007F2859">
        <w:rPr>
          <w:sz w:val="22"/>
          <w:szCs w:val="22"/>
        </w:rPr>
        <w:t> », pour y sélectionner le district d</w:t>
      </w:r>
      <w:r w:rsidR="00FC565A" w:rsidRPr="007F2859">
        <w:rPr>
          <w:sz w:val="22"/>
          <w:szCs w:val="22"/>
        </w:rPr>
        <w:t>’Abitibi (</w:t>
      </w:r>
      <w:r w:rsidR="00553453">
        <w:rPr>
          <w:sz w:val="22"/>
          <w:szCs w:val="22"/>
        </w:rPr>
        <w:t>Chibougamau</w:t>
      </w:r>
      <w:r w:rsidR="00FC565A" w:rsidRPr="007F2859">
        <w:rPr>
          <w:sz w:val="22"/>
          <w:szCs w:val="22"/>
        </w:rPr>
        <w:t>)</w:t>
      </w:r>
      <w:r w:rsidRPr="007F2859">
        <w:rPr>
          <w:sz w:val="22"/>
          <w:szCs w:val="22"/>
        </w:rPr>
        <w:t>. Voir ong</w:t>
      </w:r>
      <w:r w:rsidR="00FC565A" w:rsidRPr="007F2859">
        <w:rPr>
          <w:sz w:val="22"/>
          <w:szCs w:val="22"/>
        </w:rPr>
        <w:t>let Directives et communiqués de la</w:t>
      </w:r>
      <w:r w:rsidRPr="007F2859">
        <w:rPr>
          <w:sz w:val="22"/>
          <w:szCs w:val="22"/>
        </w:rPr>
        <w:t xml:space="preserve"> juge responsable d</w:t>
      </w:r>
      <w:r w:rsidR="00846B99" w:rsidRPr="007F2859">
        <w:rPr>
          <w:sz w:val="22"/>
          <w:szCs w:val="22"/>
        </w:rPr>
        <w:t>u district d’Abitibi (</w:t>
      </w:r>
      <w:r w:rsidR="00553453">
        <w:rPr>
          <w:sz w:val="22"/>
          <w:szCs w:val="22"/>
        </w:rPr>
        <w:t>Chibougamau</w:t>
      </w:r>
      <w:r w:rsidR="00846B99" w:rsidRPr="007F2859">
        <w:rPr>
          <w:sz w:val="22"/>
          <w:szCs w:val="22"/>
        </w:rPr>
        <w:t>)</w:t>
      </w:r>
      <w:r w:rsidRPr="007F2859">
        <w:rPr>
          <w:sz w:val="22"/>
          <w:szCs w:val="22"/>
        </w:rPr>
        <w:t>.</w:t>
      </w:r>
    </w:p>
    <w:commentRangeEnd w:id="1"/>
    <w:p w14:paraId="7B5B61F0" w14:textId="77777777" w:rsidR="0086461D" w:rsidRPr="00D50800" w:rsidRDefault="002336EA" w:rsidP="007207A0">
      <w:pPr>
        <w:ind w:left="567"/>
        <w:jc w:val="both"/>
        <w:rPr>
          <w:rFonts w:cs="Arial"/>
          <w:sz w:val="22"/>
          <w:szCs w:val="22"/>
        </w:rPr>
      </w:pPr>
      <w:r>
        <w:rPr>
          <w:rStyle w:val="Marquedecommentaire"/>
        </w:rPr>
        <w:commentReference w:id="1"/>
      </w:r>
    </w:p>
    <w:p w14:paraId="5BD0C789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7383B55F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1ED1FF37" w14:textId="77777777" w:rsidR="00755E4E" w:rsidRPr="00D50800" w:rsidRDefault="00755E4E" w:rsidP="000F19B4">
      <w:pPr>
        <w:jc w:val="both"/>
        <w:rPr>
          <w:rFonts w:cs="Arial"/>
          <w:b/>
          <w:sz w:val="22"/>
          <w:szCs w:val="22"/>
        </w:rPr>
      </w:pPr>
      <w:r w:rsidRPr="00D50800">
        <w:rPr>
          <w:rFonts w:cs="Arial"/>
          <w:b/>
          <w:sz w:val="22"/>
          <w:szCs w:val="22"/>
        </w:rPr>
        <w:t>VEUILLEZ AGIR EN CONSÉQUENCE.</w:t>
      </w:r>
    </w:p>
    <w:p w14:paraId="7938A4A3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0D11023F" w14:textId="77777777" w:rsidR="00ED1EBA" w:rsidRPr="00D50800" w:rsidRDefault="00ED1EBA" w:rsidP="000F19B4">
      <w:pPr>
        <w:pStyle w:val="Titre1"/>
        <w:jc w:val="both"/>
        <w:rPr>
          <w:b w:val="0"/>
          <w:sz w:val="22"/>
          <w:szCs w:val="22"/>
        </w:rPr>
      </w:pPr>
    </w:p>
    <w:p w14:paraId="608FD645" w14:textId="77777777" w:rsidR="007207A0" w:rsidRPr="00D50800" w:rsidRDefault="007207A0" w:rsidP="007207A0">
      <w:pPr>
        <w:rPr>
          <w:sz w:val="22"/>
          <w:szCs w:val="22"/>
        </w:rPr>
      </w:pPr>
    </w:p>
    <w:p w14:paraId="091BF56E" w14:textId="77777777" w:rsidR="00AB70F8" w:rsidRPr="00D50800" w:rsidRDefault="00C87DCA" w:rsidP="00AB70F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1E21D2">
      <w:footerReference w:type="default" r:id="rId11"/>
      <w:pgSz w:w="12242" w:h="15842" w:code="1"/>
      <w:pgMar w:top="1418" w:right="1418" w:bottom="1418" w:left="1418" w:header="1872" w:footer="1872" w:gutter="0"/>
      <w:paperSrc w:first="7" w:other="7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nièle Baril Gauthier" w:date="2021-09-23T18:16:00Z" w:initials="DBG">
    <w:p w14:paraId="156E5C15" w14:textId="0A9B0BC0" w:rsidR="002336EA" w:rsidRDefault="002336EA">
      <w:pPr>
        <w:pStyle w:val="Commentaire"/>
      </w:pPr>
      <w:r>
        <w:rPr>
          <w:rStyle w:val="Marquedecommentaire"/>
        </w:rPr>
        <w:annotationRef/>
      </w:r>
      <w:r>
        <w:t>Même comme</w:t>
      </w:r>
      <w:r w:rsidR="00CF7A15">
        <w:t>ntaire que pour le formulaire d’avis de présentation familial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6E5C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01E2" w14:textId="77777777" w:rsidR="0086461D" w:rsidRDefault="0086461D" w:rsidP="0086461D">
      <w:r>
        <w:separator/>
      </w:r>
    </w:p>
  </w:endnote>
  <w:endnote w:type="continuationSeparator" w:id="0">
    <w:p w14:paraId="3519D599" w14:textId="77777777" w:rsidR="0086461D" w:rsidRDefault="0086461D" w:rsidP="008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F104" w14:textId="5F1E8E81" w:rsidR="0086461D" w:rsidRPr="0086461D" w:rsidRDefault="007F2859" w:rsidP="0086461D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1</w:t>
    </w:r>
    <w:r w:rsidRPr="007F2859">
      <w:rPr>
        <w:sz w:val="16"/>
        <w:szCs w:val="16"/>
        <w:vertAlign w:val="superscript"/>
      </w:rPr>
      <w:t>er</w:t>
    </w:r>
    <w:r>
      <w:rPr>
        <w:sz w:val="16"/>
        <w:szCs w:val="16"/>
      </w:rPr>
      <w:t xml:space="preserve"> 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0708" w14:textId="77777777" w:rsidR="0086461D" w:rsidRDefault="0086461D" w:rsidP="0086461D">
      <w:r>
        <w:separator/>
      </w:r>
    </w:p>
  </w:footnote>
  <w:footnote w:type="continuationSeparator" w:id="0">
    <w:p w14:paraId="17A3934C" w14:textId="77777777" w:rsidR="0086461D" w:rsidRDefault="0086461D" w:rsidP="0086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èle Baril Gauthier">
    <w15:presenceInfo w15:providerId="AD" w15:userId="S-1-5-21-1842166904-4195862862-3841408389-90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F19B4"/>
    <w:rsid w:val="001D0D17"/>
    <w:rsid w:val="001D58AE"/>
    <w:rsid w:val="001D7D08"/>
    <w:rsid w:val="001E21D2"/>
    <w:rsid w:val="002119D7"/>
    <w:rsid w:val="00217E61"/>
    <w:rsid w:val="002336EA"/>
    <w:rsid w:val="00286208"/>
    <w:rsid w:val="002A572D"/>
    <w:rsid w:val="002B668C"/>
    <w:rsid w:val="002B6872"/>
    <w:rsid w:val="003200DA"/>
    <w:rsid w:val="00374D0E"/>
    <w:rsid w:val="003C4ACE"/>
    <w:rsid w:val="003C61C3"/>
    <w:rsid w:val="00553453"/>
    <w:rsid w:val="005914BE"/>
    <w:rsid w:val="005A1CC7"/>
    <w:rsid w:val="005B40F7"/>
    <w:rsid w:val="005E7478"/>
    <w:rsid w:val="00625486"/>
    <w:rsid w:val="00632C32"/>
    <w:rsid w:val="006460ED"/>
    <w:rsid w:val="00681D2A"/>
    <w:rsid w:val="00694E3B"/>
    <w:rsid w:val="006A153F"/>
    <w:rsid w:val="006D0E1F"/>
    <w:rsid w:val="006D6F6D"/>
    <w:rsid w:val="00717FF4"/>
    <w:rsid w:val="007207A0"/>
    <w:rsid w:val="00755E4E"/>
    <w:rsid w:val="00767DBC"/>
    <w:rsid w:val="007E7542"/>
    <w:rsid w:val="007F2859"/>
    <w:rsid w:val="0081726B"/>
    <w:rsid w:val="00821A44"/>
    <w:rsid w:val="008317F3"/>
    <w:rsid w:val="00846B99"/>
    <w:rsid w:val="0086461D"/>
    <w:rsid w:val="0088310D"/>
    <w:rsid w:val="008B768B"/>
    <w:rsid w:val="00901497"/>
    <w:rsid w:val="0098114D"/>
    <w:rsid w:val="00987A6D"/>
    <w:rsid w:val="00A16495"/>
    <w:rsid w:val="00A71B7B"/>
    <w:rsid w:val="00AB2754"/>
    <w:rsid w:val="00AB70F8"/>
    <w:rsid w:val="00AC331A"/>
    <w:rsid w:val="00AD068B"/>
    <w:rsid w:val="00B04167"/>
    <w:rsid w:val="00B70D4A"/>
    <w:rsid w:val="00BA6738"/>
    <w:rsid w:val="00BA6F8A"/>
    <w:rsid w:val="00C659DB"/>
    <w:rsid w:val="00C703D9"/>
    <w:rsid w:val="00C84AFE"/>
    <w:rsid w:val="00C87DCA"/>
    <w:rsid w:val="00CA2742"/>
    <w:rsid w:val="00CC42DD"/>
    <w:rsid w:val="00CF7A15"/>
    <w:rsid w:val="00D03A72"/>
    <w:rsid w:val="00D50800"/>
    <w:rsid w:val="00D53D05"/>
    <w:rsid w:val="00D61511"/>
    <w:rsid w:val="00D80BC2"/>
    <w:rsid w:val="00DB3DB6"/>
    <w:rsid w:val="00DE2B79"/>
    <w:rsid w:val="00DF05EC"/>
    <w:rsid w:val="00E25CA5"/>
    <w:rsid w:val="00E31679"/>
    <w:rsid w:val="00E842F5"/>
    <w:rsid w:val="00E975B0"/>
    <w:rsid w:val="00EB5BE9"/>
    <w:rsid w:val="00EC7D39"/>
    <w:rsid w:val="00ED1EBA"/>
    <w:rsid w:val="00ED5643"/>
    <w:rsid w:val="00ED6926"/>
    <w:rsid w:val="00F45A95"/>
    <w:rsid w:val="00F538E8"/>
    <w:rsid w:val="00FA003E"/>
    <w:rsid w:val="00FC565A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461D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61D"/>
    <w:rPr>
      <w:rFonts w:ascii="Arial" w:hAnsi="Arial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21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ux.qc.ca/mjq_en/c-superieure/index-cs.htm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url.justice.gouv.qc.ca/HmF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 avis de présentation</vt:lpstr>
    </vt:vector>
  </TitlesOfParts>
  <Company>CJMBF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 avis de présentation</dc:title>
  <dc:creator>Cour supérieure - District de Rouyn-Noranda</dc:creator>
  <cp:lastModifiedBy>Guylaine Bouchard (CS)</cp:lastModifiedBy>
  <cp:revision>3</cp:revision>
  <cp:lastPrinted>2018-09-19T15:47:00Z</cp:lastPrinted>
  <dcterms:created xsi:type="dcterms:W3CDTF">2022-02-28T16:30:00Z</dcterms:created>
  <dcterms:modified xsi:type="dcterms:W3CDTF">2022-02-28T17:01:00Z</dcterms:modified>
</cp:coreProperties>
</file>