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13826" w14:textId="77777777" w:rsidR="00126A67" w:rsidRPr="0047734E" w:rsidRDefault="00126A67" w:rsidP="00126A67">
      <w:pPr>
        <w:jc w:val="center"/>
        <w:rPr>
          <w:rFonts w:ascii="Arial" w:eastAsia="Calibri" w:hAnsi="Arial" w:cs="Arial"/>
          <w:color w:val="000000"/>
          <w:bdr w:val="none" w:sz="0" w:space="0" w:color="auto"/>
          <w:lang w:val="fr-CA"/>
        </w:rPr>
      </w:pPr>
      <w:r w:rsidRPr="0047734E">
        <w:rPr>
          <w:rFonts w:ascii="Arial" w:eastAsia="Calibri" w:hAnsi="Arial" w:cs="Arial"/>
          <w:color w:val="000000"/>
          <w:bdr w:val="none" w:sz="0" w:space="0" w:color="auto"/>
          <w:lang w:val="fr-CA"/>
        </w:rPr>
        <w:t xml:space="preserve">ANNEXE </w:t>
      </w:r>
      <w:r>
        <w:rPr>
          <w:rFonts w:ascii="Arial" w:eastAsia="Calibri" w:hAnsi="Arial" w:cs="Arial"/>
          <w:color w:val="000000"/>
          <w:bdr w:val="none" w:sz="0" w:space="0" w:color="auto"/>
          <w:lang w:val="fr-CA"/>
        </w:rPr>
        <w:t>3</w:t>
      </w:r>
    </w:p>
    <w:p w14:paraId="6E83B0B1" w14:textId="77777777" w:rsidR="00126A67" w:rsidRPr="0047734E" w:rsidRDefault="00126A67" w:rsidP="00126A67">
      <w:pPr>
        <w:jc w:val="center"/>
        <w:rPr>
          <w:rFonts w:ascii="Arial" w:eastAsia="Calibri" w:hAnsi="Arial" w:cs="Arial"/>
          <w:color w:val="000000"/>
          <w:bdr w:val="none" w:sz="0" w:space="0" w:color="auto"/>
          <w:lang w:val="fr-CA"/>
        </w:rPr>
      </w:pPr>
    </w:p>
    <w:p w14:paraId="4D1E5A8E" w14:textId="77777777" w:rsidR="00126A67" w:rsidRPr="0047734E" w:rsidRDefault="00126A67" w:rsidP="00126A67">
      <w:pPr>
        <w:jc w:val="center"/>
        <w:rPr>
          <w:rFonts w:ascii="Arial" w:eastAsia="Calibri" w:hAnsi="Arial" w:cs="Arial"/>
          <w:color w:val="000000"/>
          <w:bdr w:val="none" w:sz="0" w:space="0" w:color="auto"/>
          <w:lang w:val="fr-CA"/>
        </w:rPr>
      </w:pPr>
      <w:r w:rsidRPr="0047734E">
        <w:rPr>
          <w:rFonts w:ascii="Arial" w:eastAsia="Calibri" w:hAnsi="Arial" w:cs="Arial"/>
          <w:color w:val="000000"/>
          <w:bdr w:val="none" w:sz="0" w:space="0" w:color="auto"/>
          <w:lang w:val="fr-CA"/>
        </w:rPr>
        <w:t>Tableau des dé</w:t>
      </w:r>
      <w:r>
        <w:rPr>
          <w:rFonts w:ascii="Arial" w:eastAsia="Calibri" w:hAnsi="Arial" w:cs="Arial"/>
          <w:color w:val="000000"/>
          <w:bdr w:val="none" w:sz="0" w:space="0" w:color="auto"/>
          <w:lang w:val="fr-CA"/>
        </w:rPr>
        <w:t>lais</w:t>
      </w:r>
    </w:p>
    <w:p w14:paraId="2084D4ED" w14:textId="77777777" w:rsidR="00126A67" w:rsidRDefault="00126A67" w:rsidP="00126A67">
      <w:pPr>
        <w:jc w:val="both"/>
        <w:rPr>
          <w:rFonts w:ascii="Arial" w:eastAsia="Calibri" w:hAnsi="Arial" w:cs="Arial"/>
          <w:color w:val="000000"/>
          <w:bdr w:val="none" w:sz="0" w:space="0" w:color="auto"/>
          <w:lang w:val="fr-CA"/>
        </w:rPr>
      </w:pPr>
    </w:p>
    <w:p w14:paraId="22E94BAF" w14:textId="77777777" w:rsidR="00126A67" w:rsidRDefault="00126A67" w:rsidP="00126A67">
      <w:pPr>
        <w:jc w:val="both"/>
        <w:rPr>
          <w:rFonts w:ascii="Arial" w:eastAsia="Calibri" w:hAnsi="Arial" w:cs="Arial"/>
          <w:color w:val="000000"/>
          <w:bdr w:val="none" w:sz="0" w:space="0" w:color="auto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3"/>
        <w:gridCol w:w="2863"/>
        <w:gridCol w:w="2864"/>
      </w:tblGrid>
      <w:tr w:rsidR="00126A67" w14:paraId="2CB5E2D0" w14:textId="77777777" w:rsidTr="001D2A76">
        <w:tc>
          <w:tcPr>
            <w:tcW w:w="2863" w:type="dxa"/>
          </w:tcPr>
          <w:p w14:paraId="6B094C44" w14:textId="77777777" w:rsidR="00126A67" w:rsidRPr="00CE1EB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</w:p>
          <w:p w14:paraId="5EBFC8C8" w14:textId="77777777" w:rsidR="00126A67" w:rsidRPr="00CE1EB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  <w:r w:rsidRPr="00CE1EB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CA"/>
              </w:rPr>
              <w:t>Nature de la procédure</w:t>
            </w:r>
          </w:p>
          <w:p w14:paraId="7E869910" w14:textId="77777777" w:rsidR="00126A67" w:rsidRPr="00CE1EB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</w:p>
        </w:tc>
        <w:tc>
          <w:tcPr>
            <w:tcW w:w="2863" w:type="dxa"/>
          </w:tcPr>
          <w:p w14:paraId="0CAAF70C" w14:textId="77777777" w:rsidR="00126A67" w:rsidRPr="00CE1EB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bdr w:val="none" w:sz="0" w:space="0" w:color="auto"/>
                <w:lang w:val="fr-CA"/>
              </w:rPr>
            </w:pPr>
          </w:p>
          <w:p w14:paraId="15D44122" w14:textId="77777777" w:rsidR="00126A67" w:rsidRPr="00CE1EB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  <w:r w:rsidRPr="00CE1EB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CA"/>
              </w:rPr>
              <w:t>Délai à respecter</w:t>
            </w:r>
          </w:p>
        </w:tc>
        <w:tc>
          <w:tcPr>
            <w:tcW w:w="2864" w:type="dxa"/>
          </w:tcPr>
          <w:p w14:paraId="0AD36A8E" w14:textId="77777777" w:rsidR="00126A67" w:rsidRPr="00CE1EB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b/>
                <w:bCs/>
                <w:color w:val="000000"/>
                <w:bdr w:val="none" w:sz="0" w:space="0" w:color="auto"/>
                <w:lang w:val="fr-CA"/>
              </w:rPr>
            </w:pPr>
          </w:p>
          <w:p w14:paraId="6BAB7BB6" w14:textId="77777777" w:rsidR="00126A67" w:rsidRPr="00CE1EB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  <w:r w:rsidRPr="00CE1EB7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fr-CA"/>
              </w:rPr>
              <w:t>Échéance précisée</w:t>
            </w:r>
          </w:p>
        </w:tc>
      </w:tr>
      <w:tr w:rsidR="00126A67" w:rsidRPr="002F7F23" w14:paraId="37142AB8" w14:textId="77777777" w:rsidTr="001D2A76">
        <w:tc>
          <w:tcPr>
            <w:tcW w:w="2863" w:type="dxa"/>
          </w:tcPr>
          <w:p w14:paraId="58CB1C67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</w:p>
          <w:p w14:paraId="030D8944" w14:textId="77777777" w:rsidR="00126A67" w:rsidRPr="0047734E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  <w:r w:rsidRPr="0047734E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  <w:t>Dépôt de la demande d’ordonna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  <w:t>n</w:t>
            </w:r>
            <w:r w:rsidRPr="0047734E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  <w:t>ce de sauvegarde</w:t>
            </w:r>
          </w:p>
          <w:p w14:paraId="3957B41E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bdr w:val="none" w:sz="0" w:space="0" w:color="auto"/>
                <w:lang w:val="fr-CA"/>
              </w:rPr>
            </w:pPr>
          </w:p>
        </w:tc>
        <w:tc>
          <w:tcPr>
            <w:tcW w:w="2863" w:type="dxa"/>
          </w:tcPr>
          <w:p w14:paraId="74A5C880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bdr w:val="none" w:sz="0" w:space="0" w:color="auto"/>
                <w:lang w:val="fr-CA"/>
              </w:rPr>
            </w:pPr>
          </w:p>
          <w:p w14:paraId="1709D309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  <w:t xml:space="preserve">Article 40 Directives de la division de Montréal (tronc commun) </w:t>
            </w: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/>
                <w:lang w:val="fr-CA"/>
              </w:rPr>
              <w:t>10 </w:t>
            </w:r>
            <w:r w:rsidRPr="00CE1EB7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/>
                <w:lang w:val="fr-CA"/>
              </w:rPr>
              <w:t>jours</w:t>
            </w:r>
            <w:r w:rsidRPr="00CE1EB7"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bdr w:val="none" w:sz="0" w:space="0" w:color="auto"/>
                <w:lang w:val="fr-CA"/>
              </w:rPr>
              <w:t xml:space="preserve"> avant la présentation</w:t>
            </w:r>
          </w:p>
          <w:p w14:paraId="6EF1AF8C" w14:textId="77777777" w:rsidR="00126A67" w:rsidRPr="0047734E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</w:p>
        </w:tc>
        <w:tc>
          <w:tcPr>
            <w:tcW w:w="2864" w:type="dxa"/>
          </w:tcPr>
          <w:p w14:paraId="48E87F4D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bdr w:val="none" w:sz="0" w:space="0" w:color="auto"/>
                <w:lang w:val="fr-CA"/>
              </w:rPr>
            </w:pPr>
          </w:p>
          <w:p w14:paraId="1A68871D" w14:textId="77777777" w:rsidR="00126A67" w:rsidRPr="0047734E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  <w:t xml:space="preserve">Notification au plus tard </w:t>
            </w:r>
            <w:r w:rsidRPr="00CE1EB7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bdr w:val="none" w:sz="0" w:space="0" w:color="auto"/>
                <w:lang w:val="fr-CA"/>
              </w:rPr>
              <w:t>le 2</w:t>
            </w:r>
            <w:r w:rsidRPr="00CE1EB7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bdr w:val="none" w:sz="0" w:space="0" w:color="auto"/>
                <w:vertAlign w:val="superscript"/>
                <w:lang w:val="fr-CA"/>
              </w:rPr>
              <w:t>e</w:t>
            </w:r>
            <w:r w:rsidRPr="00CE1EB7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bdr w:val="none" w:sz="0" w:space="0" w:color="auto"/>
                <w:lang w:val="fr-CA"/>
              </w:rPr>
              <w:t xml:space="preserve"> vendredi avant la pratique</w:t>
            </w:r>
          </w:p>
        </w:tc>
      </w:tr>
      <w:tr w:rsidR="00126A67" w:rsidRPr="002F7F23" w14:paraId="1555C4FD" w14:textId="77777777" w:rsidTr="001D2A76">
        <w:tc>
          <w:tcPr>
            <w:tcW w:w="2863" w:type="dxa"/>
          </w:tcPr>
          <w:p w14:paraId="1BB79DC0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bdr w:val="none" w:sz="0" w:space="0" w:color="auto"/>
                <w:lang w:val="fr-CA"/>
              </w:rPr>
            </w:pPr>
          </w:p>
          <w:p w14:paraId="6E2B9E79" w14:textId="77777777" w:rsidR="00126A67" w:rsidRPr="00CE1EB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  <w:t>Déclaration sous serment en réponse</w:t>
            </w:r>
          </w:p>
          <w:p w14:paraId="1A6B6BFD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bdr w:val="none" w:sz="0" w:space="0" w:color="auto"/>
                <w:lang w:val="fr-CA"/>
              </w:rPr>
            </w:pPr>
          </w:p>
          <w:p w14:paraId="261A8F45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bdr w:val="none" w:sz="0" w:space="0" w:color="auto"/>
                <w:lang w:val="fr-CA"/>
              </w:rPr>
            </w:pPr>
          </w:p>
        </w:tc>
        <w:tc>
          <w:tcPr>
            <w:tcW w:w="2863" w:type="dxa"/>
          </w:tcPr>
          <w:p w14:paraId="63F7130B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bdr w:val="none" w:sz="0" w:space="0" w:color="auto"/>
                <w:lang w:val="fr-CA"/>
              </w:rPr>
            </w:pPr>
          </w:p>
          <w:p w14:paraId="18A28A0E" w14:textId="77777777" w:rsidR="00126A67" w:rsidRPr="00CE1EB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  <w:t xml:space="preserve">Article 43 Directives de la division de Montréal (tronc commun) </w:t>
            </w: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/>
                <w:lang w:val="fr-CA"/>
              </w:rPr>
              <w:t xml:space="preserve">4 jours 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bdr w:val="none" w:sz="0" w:space="0" w:color="auto"/>
                <w:lang w:val="fr-CA"/>
              </w:rPr>
              <w:t>avant la présentation</w:t>
            </w:r>
          </w:p>
          <w:p w14:paraId="2E96F4A2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bdr w:val="none" w:sz="0" w:space="0" w:color="auto"/>
                <w:lang w:val="fr-CA"/>
              </w:rPr>
            </w:pPr>
          </w:p>
        </w:tc>
        <w:tc>
          <w:tcPr>
            <w:tcW w:w="2864" w:type="dxa"/>
          </w:tcPr>
          <w:p w14:paraId="7033B182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</w:p>
          <w:p w14:paraId="0A2DAD15" w14:textId="77777777" w:rsidR="00126A67" w:rsidRPr="00CE1EB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  <w:t xml:space="preserve">Notification et production au greffe au plus tard </w:t>
            </w:r>
            <w:r w:rsidRPr="00CE1EB7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bdr w:val="none" w:sz="0" w:space="0" w:color="auto"/>
                <w:lang w:val="fr-CA"/>
              </w:rPr>
              <w:t>le jeudi précédant la pratique à midi</w:t>
            </w:r>
          </w:p>
        </w:tc>
      </w:tr>
      <w:tr w:rsidR="00126A67" w:rsidRPr="002F7F23" w14:paraId="057C9BAB" w14:textId="77777777" w:rsidTr="001D2A76">
        <w:tc>
          <w:tcPr>
            <w:tcW w:w="2863" w:type="dxa"/>
          </w:tcPr>
          <w:p w14:paraId="1672E6E5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bdr w:val="none" w:sz="0" w:space="0" w:color="auto"/>
                <w:lang w:val="fr-CA"/>
              </w:rPr>
            </w:pPr>
          </w:p>
          <w:p w14:paraId="51108F85" w14:textId="77777777" w:rsidR="00126A67" w:rsidRPr="00CE1EB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  <w:t>Déclaration sous serment en réplique</w:t>
            </w:r>
          </w:p>
          <w:p w14:paraId="035EC13B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bdr w:val="none" w:sz="0" w:space="0" w:color="auto"/>
                <w:lang w:val="fr-CA"/>
              </w:rPr>
            </w:pPr>
          </w:p>
        </w:tc>
        <w:tc>
          <w:tcPr>
            <w:tcW w:w="2863" w:type="dxa"/>
          </w:tcPr>
          <w:p w14:paraId="652794BA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bdr w:val="none" w:sz="0" w:space="0" w:color="auto"/>
                <w:lang w:val="fr-CA"/>
              </w:rPr>
            </w:pPr>
          </w:p>
          <w:p w14:paraId="3A81886D" w14:textId="77777777" w:rsidR="00126A67" w:rsidRPr="00CE1EB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  <w:t xml:space="preserve">Article 44 Directives de la division de Montréal (tronc commun) </w:t>
            </w:r>
            <w:r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/>
                <w:lang w:val="fr-CA"/>
              </w:rPr>
              <w:t xml:space="preserve">2 jours </w:t>
            </w:r>
            <w:r>
              <w:rPr>
                <w:rFonts w:ascii="Arial" w:eastAsia="Calibri" w:hAnsi="Arial" w:cs="Arial"/>
                <w:i/>
                <w:iCs/>
                <w:color w:val="000000"/>
                <w:sz w:val="20"/>
                <w:szCs w:val="20"/>
                <w:bdr w:val="none" w:sz="0" w:space="0" w:color="auto"/>
                <w:lang w:val="fr-CA"/>
              </w:rPr>
              <w:t>avant la présentation</w:t>
            </w:r>
          </w:p>
          <w:p w14:paraId="165B83CF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bdr w:val="none" w:sz="0" w:space="0" w:color="auto"/>
                <w:lang w:val="fr-CA"/>
              </w:rPr>
            </w:pPr>
          </w:p>
        </w:tc>
        <w:tc>
          <w:tcPr>
            <w:tcW w:w="2864" w:type="dxa"/>
          </w:tcPr>
          <w:p w14:paraId="4FDC573E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bdr w:val="none" w:sz="0" w:space="0" w:color="auto"/>
                <w:lang w:val="fr-CA"/>
              </w:rPr>
            </w:pPr>
          </w:p>
          <w:p w14:paraId="530BC475" w14:textId="77777777" w:rsidR="00126A67" w:rsidRPr="00CE1EB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  <w:t xml:space="preserve">Notification et production au greffe au plus tard </w:t>
            </w:r>
            <w:r w:rsidRPr="00CE1EB7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bdr w:val="none" w:sz="0" w:space="0" w:color="auto"/>
                <w:lang w:val="fr-CA"/>
              </w:rPr>
              <w:t>le vendredi précédant la pratique à            16 h 30</w:t>
            </w:r>
          </w:p>
        </w:tc>
      </w:tr>
      <w:tr w:rsidR="00126A67" w:rsidRPr="002F7F23" w14:paraId="2E9B4D6A" w14:textId="77777777" w:rsidTr="001D2A76">
        <w:tc>
          <w:tcPr>
            <w:tcW w:w="2863" w:type="dxa"/>
          </w:tcPr>
          <w:p w14:paraId="186C9676" w14:textId="77777777" w:rsidR="00126A67" w:rsidRPr="00DC2AA4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</w:p>
          <w:p w14:paraId="18D4EE35" w14:textId="77777777" w:rsidR="00126A67" w:rsidRPr="00DC2AA4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  <w:r w:rsidRPr="00DC2AA4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  <w:t>Toute autre procédure ou pièce</w:t>
            </w:r>
          </w:p>
        </w:tc>
        <w:tc>
          <w:tcPr>
            <w:tcW w:w="2863" w:type="dxa"/>
          </w:tcPr>
          <w:p w14:paraId="3BC329B7" w14:textId="77777777" w:rsidR="00126A67" w:rsidRPr="00DC2AA4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</w:p>
          <w:p w14:paraId="49242FBD" w14:textId="77777777" w:rsidR="00126A67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  <w:t xml:space="preserve">Article 25 Directives de la division de Montréal (tronc commun) </w:t>
            </w:r>
            <w:r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bdr w:val="none" w:sz="0" w:space="0" w:color="auto"/>
                <w:lang w:val="fr-CA"/>
              </w:rPr>
              <w:t>3 </w:t>
            </w:r>
            <w:r w:rsidRPr="00DC2AA4">
              <w:rPr>
                <w:rFonts w:ascii="Arial" w:eastAsia="Calibri" w:hAnsi="Arial" w:cs="Arial"/>
                <w:b/>
                <w:i/>
                <w:color w:val="000000"/>
                <w:sz w:val="20"/>
                <w:szCs w:val="20"/>
                <w:bdr w:val="none" w:sz="0" w:space="0" w:color="auto"/>
                <w:lang w:val="fr-CA"/>
              </w:rPr>
              <w:t>jours</w:t>
            </w:r>
            <w:r w:rsidRPr="00DC2AA4"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  <w:t xml:space="preserve"> ouvrables</w:t>
            </w:r>
          </w:p>
          <w:p w14:paraId="0C4852D6" w14:textId="77777777" w:rsidR="00126A67" w:rsidRPr="00DC2AA4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</w:p>
        </w:tc>
        <w:tc>
          <w:tcPr>
            <w:tcW w:w="2864" w:type="dxa"/>
          </w:tcPr>
          <w:p w14:paraId="4D9E81CE" w14:textId="77777777" w:rsidR="00126A67" w:rsidRPr="00DC2AA4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</w:p>
          <w:p w14:paraId="54E6A02A" w14:textId="77777777" w:rsidR="00126A67" w:rsidRPr="00DC2AA4" w:rsidRDefault="00126A67" w:rsidP="001D2A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bdr w:val="none" w:sz="0" w:space="0" w:color="auto"/>
                <w:lang w:val="fr-CA"/>
              </w:rPr>
              <w:t xml:space="preserve">Notification et production au greffe au plus tard </w:t>
            </w:r>
            <w:r w:rsidRPr="00DC2AA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bdr w:val="none" w:sz="0" w:space="0" w:color="auto"/>
                <w:lang w:val="fr-CA"/>
              </w:rPr>
              <w:t xml:space="preserve">le </w:t>
            </w:r>
            <w:proofErr w:type="spellStart"/>
            <w:r w:rsidRPr="00DC2AA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bdr w:val="none" w:sz="0" w:space="0" w:color="auto"/>
                <w:lang w:val="fr-CA"/>
              </w:rPr>
              <w:t>mercreci</w:t>
            </w:r>
            <w:proofErr w:type="spellEnd"/>
            <w:r w:rsidRPr="00DC2AA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bdr w:val="none" w:sz="0" w:space="0" w:color="auto"/>
                <w:lang w:val="fr-CA"/>
              </w:rPr>
              <w:t xml:space="preserve"> précédant la pratique à 16 h 30</w:t>
            </w:r>
          </w:p>
        </w:tc>
      </w:tr>
    </w:tbl>
    <w:p w14:paraId="16F5B367" w14:textId="77777777" w:rsidR="00126A67" w:rsidRPr="0047734E" w:rsidRDefault="00126A67" w:rsidP="00126A67">
      <w:pPr>
        <w:jc w:val="both"/>
        <w:rPr>
          <w:rFonts w:ascii="Arial" w:eastAsia="Calibri" w:hAnsi="Arial" w:cs="Arial"/>
          <w:color w:val="000000"/>
          <w:bdr w:val="none" w:sz="0" w:space="0" w:color="auto"/>
          <w:lang w:val="fr-CA"/>
        </w:rPr>
      </w:pPr>
    </w:p>
    <w:p w14:paraId="75BAE875" w14:textId="77777777" w:rsidR="000C366E" w:rsidRPr="00126A67" w:rsidRDefault="00126A67">
      <w:pPr>
        <w:rPr>
          <w:lang w:val="fr-CA"/>
        </w:rPr>
      </w:pPr>
    </w:p>
    <w:sectPr w:rsidR="000C366E" w:rsidRPr="00126A67" w:rsidSect="001824A2">
      <w:headerReference w:type="first" r:id="rId4"/>
      <w:footerReference w:type="first" r:id="rId5"/>
      <w:pgSz w:w="12240" w:h="15840"/>
      <w:pgMar w:top="1440" w:right="1797" w:bottom="1361" w:left="1843" w:header="720" w:footer="862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3D2B8" w14:textId="77777777" w:rsidR="000122FC" w:rsidRPr="005641B6" w:rsidRDefault="00126A67" w:rsidP="005641B6">
    <w:pPr>
      <w:rPr>
        <w:rFonts w:ascii="Arial" w:hAnsi="Arial" w:cs="Arial"/>
      </w:rPr>
    </w:pPr>
  </w:p>
  <w:p w14:paraId="3397DA20" w14:textId="77777777" w:rsidR="000122FC" w:rsidRPr="005641B6" w:rsidRDefault="00126A67" w:rsidP="005641B6">
    <w:pPr>
      <w:rPr>
        <w:rFonts w:ascii="Arial" w:hAnsi="Arial" w:cs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64582284"/>
      <w:docPartObj>
        <w:docPartGallery w:val="Page Numbers (Top of Page)"/>
        <w:docPartUnique/>
      </w:docPartObj>
    </w:sdtPr>
    <w:sdtEndPr/>
    <w:sdtContent>
      <w:p w14:paraId="6AF02C5D" w14:textId="77777777" w:rsidR="000122FC" w:rsidRPr="004A3145" w:rsidRDefault="00126A67">
        <w:pPr>
          <w:pStyle w:val="En-tte"/>
          <w:jc w:val="right"/>
          <w:rPr>
            <w:rFonts w:ascii="Arial" w:hAnsi="Arial" w:cs="Arial"/>
          </w:rPr>
        </w:pPr>
        <w:r w:rsidRPr="004A3145">
          <w:rPr>
            <w:rFonts w:ascii="Arial" w:hAnsi="Arial" w:cs="Arial"/>
          </w:rPr>
          <w:fldChar w:fldCharType="begin"/>
        </w:r>
        <w:r w:rsidRPr="004A3145">
          <w:rPr>
            <w:rFonts w:ascii="Arial" w:hAnsi="Arial" w:cs="Arial"/>
          </w:rPr>
          <w:instrText>PAGE   \* MERGEFORMAT</w:instrText>
        </w:r>
        <w:r w:rsidRPr="004A3145">
          <w:rPr>
            <w:rFonts w:ascii="Arial" w:hAnsi="Arial" w:cs="Arial"/>
          </w:rPr>
          <w:fldChar w:fldCharType="separate"/>
        </w:r>
        <w:r w:rsidRPr="00B53243">
          <w:rPr>
            <w:rFonts w:ascii="Arial" w:hAnsi="Arial" w:cs="Arial"/>
            <w:noProof/>
            <w:lang w:val="fr-FR"/>
          </w:rPr>
          <w:t>1</w:t>
        </w:r>
        <w:r w:rsidRPr="004A3145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/</w:t>
        </w:r>
      </w:p>
    </w:sdtContent>
  </w:sdt>
  <w:p w14:paraId="1AE2E399" w14:textId="77777777" w:rsidR="000122FC" w:rsidRDefault="00126A67" w:rsidP="00FB2D92">
    <w:pPr>
      <w:pStyle w:val="En-tte"/>
      <w:rPr>
        <w:rFonts w:hint="eastAsia"/>
      </w:rPr>
    </w:pPr>
  </w:p>
  <w:p w14:paraId="0D422925" w14:textId="77777777" w:rsidR="000122FC" w:rsidRDefault="00126A67" w:rsidP="00FB2D92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A67"/>
    <w:rsid w:val="00093257"/>
    <w:rsid w:val="00126A67"/>
    <w:rsid w:val="00664E9F"/>
    <w:rsid w:val="00BF2B7D"/>
    <w:rsid w:val="00F6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917C0"/>
  <w15:chartTrackingRefBased/>
  <w15:docId w15:val="{D4784C05-A073-41C6-9323-F5755C38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6A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126A6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</w:rPr>
  </w:style>
  <w:style w:type="character" w:customStyle="1" w:styleId="En-tteCar">
    <w:name w:val="En-tête Car"/>
    <w:basedOn w:val="Policepardfaut"/>
    <w:link w:val="En-tte"/>
    <w:rsid w:val="00126A67"/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</w:rPr>
  </w:style>
  <w:style w:type="table" w:styleId="Grilledutableau">
    <w:name w:val="Table Grid"/>
    <w:basedOn w:val="TableauNormal"/>
    <w:rsid w:val="00126A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832</Characters>
  <Application>Microsoft Office Word</Application>
  <DocSecurity>0</DocSecurity>
  <Lines>6</Lines>
  <Paragraphs>1</Paragraphs>
  <ScaleCrop>false</ScaleCrop>
  <Company>MJQ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 supérieure</dc:creator>
  <cp:keywords/>
  <dc:description/>
  <cp:lastModifiedBy>Cour supérieure</cp:lastModifiedBy>
  <cp:revision>1</cp:revision>
  <dcterms:created xsi:type="dcterms:W3CDTF">2022-12-08T20:24:00Z</dcterms:created>
  <dcterms:modified xsi:type="dcterms:W3CDTF">2022-12-08T20:26:00Z</dcterms:modified>
</cp:coreProperties>
</file>