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4B61" w14:textId="5686B7C8" w:rsidR="00C929EA" w:rsidRDefault="00C929EA" w:rsidP="00073E0A">
      <w:pPr>
        <w:pStyle w:val="TM1"/>
      </w:pPr>
      <w:bookmarkStart w:id="0" w:name="_Toc6477477"/>
      <w:bookmarkStart w:id="1" w:name="_Toc23156060"/>
      <w:bookmarkStart w:id="2" w:name="_Toc3235997"/>
      <w:bookmarkStart w:id="3" w:name="_Toc23156062"/>
      <w:bookmarkStart w:id="4" w:name="_Toc26861729"/>
      <w:bookmarkStart w:id="5" w:name="_Toc27398945"/>
      <w:bookmarkStart w:id="6" w:name="_Toc27485253"/>
      <w:bookmarkStart w:id="7" w:name="_Toc27650489"/>
      <w:bookmarkStart w:id="8" w:name="_Toc33775143"/>
      <w:bookmarkStart w:id="9" w:name="_Toc34044681"/>
      <w:bookmarkStart w:id="10" w:name="_Toc57726832"/>
      <w:bookmarkStart w:id="11" w:name="_Toc75783429"/>
      <w:bookmarkStart w:id="12" w:name="_Toc87943880"/>
      <w:r w:rsidRPr="006921BC">
        <w:rPr>
          <w:noProof/>
          <w:lang w:eastAsia="fr-CA"/>
        </w:rPr>
        <w:drawing>
          <wp:inline distT="0" distB="0" distL="0" distR="0" wp14:anchorId="596FEF30" wp14:editId="176BFB9D">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33677" cy="785495"/>
                    </a:xfrm>
                    <a:prstGeom prst="rect">
                      <a:avLst/>
                    </a:prstGeom>
                    <a:ln w="12700" cap="flat">
                      <a:noFill/>
                      <a:miter lim="400000"/>
                    </a:ln>
                    <a:effectLst/>
                  </pic:spPr>
                </pic:pic>
              </a:graphicData>
            </a:graphic>
          </wp:inline>
        </w:drawing>
      </w:r>
      <w:bookmarkEnd w:id="0"/>
      <w:bookmarkEnd w:id="1"/>
    </w:p>
    <w:p w14:paraId="120E8B61" w14:textId="77777777" w:rsidR="00C929EA" w:rsidRPr="001816BE" w:rsidRDefault="00C929EA" w:rsidP="001816BE">
      <w:pPr>
        <w:jc w:val="center"/>
        <w:rPr>
          <w:b/>
          <w:color w:val="FF0000"/>
          <w:sz w:val="28"/>
        </w:rPr>
      </w:pPr>
      <w:r w:rsidRPr="001816BE">
        <w:rPr>
          <w:b/>
          <w:color w:val="FF0000"/>
          <w:sz w:val="28"/>
        </w:rPr>
        <w:t>COUR SUPÉRIEURE DU QUÉBEC</w:t>
      </w:r>
    </w:p>
    <w:p w14:paraId="5305B21F" w14:textId="60C2299A" w:rsidR="00C929EA" w:rsidRPr="001816BE" w:rsidRDefault="00C929EA" w:rsidP="00724B34">
      <w:pPr>
        <w:spacing w:after="0" w:line="240" w:lineRule="auto"/>
        <w:jc w:val="center"/>
        <w:rPr>
          <w:b/>
        </w:rPr>
      </w:pPr>
      <w:bookmarkStart w:id="13" w:name="_Toc1"/>
      <w:r w:rsidRPr="001816BE">
        <w:rPr>
          <w:b/>
        </w:rPr>
        <w:t>Directives de la Cour supérieure</w:t>
      </w:r>
      <w:r w:rsidR="001816BE">
        <w:rPr>
          <w:b/>
        </w:rPr>
        <w:br/>
      </w:r>
      <w:r w:rsidR="000A5F80" w:rsidRPr="001816BE">
        <w:rPr>
          <w:b/>
        </w:rPr>
        <w:t>Division</w:t>
      </w:r>
      <w:r w:rsidR="00786072" w:rsidRPr="001816BE">
        <w:rPr>
          <w:b/>
        </w:rPr>
        <w:t xml:space="preserve"> de Montréal</w:t>
      </w:r>
      <w:r w:rsidRPr="001816BE">
        <w:rPr>
          <w:b/>
        </w:rPr>
        <w:br/>
      </w:r>
      <w:bookmarkEnd w:id="13"/>
      <w:r w:rsidRPr="001816BE">
        <w:rPr>
          <w:b/>
        </w:rPr>
        <w:br/>
        <w:t xml:space="preserve">À jour au </w:t>
      </w:r>
      <w:r w:rsidR="000D615E">
        <w:rPr>
          <w:b/>
        </w:rPr>
        <w:t>1</w:t>
      </w:r>
      <w:r w:rsidR="000D615E" w:rsidRPr="000D615E">
        <w:rPr>
          <w:b/>
          <w:vertAlign w:val="superscript"/>
        </w:rPr>
        <w:t>er</w:t>
      </w:r>
      <w:r w:rsidR="000D615E">
        <w:rPr>
          <w:b/>
        </w:rPr>
        <w:t xml:space="preserve"> </w:t>
      </w:r>
      <w:r w:rsidR="005977BA">
        <w:rPr>
          <w:b/>
        </w:rPr>
        <w:t>janvier 2024</w:t>
      </w:r>
    </w:p>
    <w:p w14:paraId="1C8F3DB5" w14:textId="77777777" w:rsidR="005C5D1A" w:rsidRDefault="005C5D1A" w:rsidP="00724B34">
      <w:pPr>
        <w:pStyle w:val="PardfautA"/>
        <w:spacing w:after="0"/>
        <w:ind w:left="0"/>
        <w:jc w:val="center"/>
        <w:outlineLvl w:val="9"/>
        <w:rPr>
          <w:rStyle w:val="Aucun"/>
          <w:rFonts w:ascii="Arial Gras" w:hAnsi="Arial Gras" w:cs="Arial"/>
          <w:b/>
          <w:bCs/>
          <w:lang w:val="fr-CA"/>
        </w:rPr>
      </w:pPr>
    </w:p>
    <w:p w14:paraId="5F3DDFD4" w14:textId="026BD9FB" w:rsidR="00073E0A" w:rsidRDefault="00B76C76">
      <w:pPr>
        <w:pStyle w:val="TM1"/>
        <w:tabs>
          <w:tab w:val="right" w:leader="dot" w:pos="8590"/>
        </w:tabs>
        <w:rPr>
          <w:rFonts w:asciiTheme="minorHAnsi" w:eastAsiaTheme="minorEastAsia" w:hAnsiTheme="minorHAnsi" w:cstheme="minorBidi"/>
          <w:b w:val="0"/>
          <w:bCs w:val="0"/>
          <w:caps w:val="0"/>
          <w:noProof/>
          <w:sz w:val="22"/>
          <w:szCs w:val="22"/>
          <w:lang w:eastAsia="fr-CA"/>
        </w:rPr>
      </w:pPr>
      <w:r>
        <w:rPr>
          <w:rStyle w:val="Aucun"/>
          <w:b w:val="0"/>
          <w:bCs w:val="0"/>
          <w:caps w:val="0"/>
          <w:lang w:val="fr-CA"/>
        </w:rPr>
        <w:fldChar w:fldCharType="begin"/>
      </w:r>
      <w:r>
        <w:rPr>
          <w:rStyle w:val="Aucun"/>
          <w:b w:val="0"/>
          <w:bCs w:val="0"/>
          <w:caps w:val="0"/>
          <w:lang w:val="fr-CA"/>
        </w:rPr>
        <w:instrText xml:space="preserve"> TOC \o "1-3" </w:instrText>
      </w:r>
      <w:r>
        <w:rPr>
          <w:rStyle w:val="Aucun"/>
          <w:b w:val="0"/>
          <w:bCs w:val="0"/>
          <w:caps w:val="0"/>
          <w:lang w:val="fr-CA"/>
        </w:rPr>
        <w:fldChar w:fldCharType="separate"/>
      </w:r>
      <w:r w:rsidR="00073E0A">
        <w:rPr>
          <w:noProof/>
        </w:rPr>
        <w:t>DIRECTIVES GÉNÉRALES</w:t>
      </w:r>
      <w:r w:rsidR="00073E0A">
        <w:rPr>
          <w:noProof/>
        </w:rPr>
        <w:tab/>
      </w:r>
      <w:r w:rsidR="00073E0A">
        <w:rPr>
          <w:noProof/>
        </w:rPr>
        <w:fldChar w:fldCharType="begin"/>
      </w:r>
      <w:r w:rsidR="00073E0A">
        <w:rPr>
          <w:noProof/>
        </w:rPr>
        <w:instrText xml:space="preserve"> PAGEREF _Toc154072877 \h </w:instrText>
      </w:r>
      <w:r w:rsidR="00073E0A">
        <w:rPr>
          <w:noProof/>
        </w:rPr>
      </w:r>
      <w:r w:rsidR="00073E0A">
        <w:rPr>
          <w:noProof/>
        </w:rPr>
        <w:fldChar w:fldCharType="separate"/>
      </w:r>
      <w:r w:rsidR="00073E0A">
        <w:rPr>
          <w:noProof/>
        </w:rPr>
        <w:t>1</w:t>
      </w:r>
      <w:r w:rsidR="00073E0A">
        <w:rPr>
          <w:noProof/>
        </w:rPr>
        <w:fldChar w:fldCharType="end"/>
      </w:r>
    </w:p>
    <w:p w14:paraId="63C0A826" w14:textId="0769AB86" w:rsidR="00073E0A" w:rsidRDefault="00073E0A">
      <w:pPr>
        <w:pStyle w:val="TM2"/>
        <w:rPr>
          <w:rFonts w:asciiTheme="minorHAnsi" w:eastAsiaTheme="minorEastAsia" w:hAnsiTheme="minorHAnsi" w:cstheme="minorBidi"/>
          <w:noProof/>
          <w:sz w:val="22"/>
          <w:szCs w:val="22"/>
          <w:lang w:eastAsia="fr-CA"/>
        </w:rPr>
      </w:pPr>
      <w:r>
        <w:rPr>
          <w:noProof/>
        </w:rPr>
        <w:t>Objet et champ d’application</w:t>
      </w:r>
      <w:r>
        <w:rPr>
          <w:noProof/>
        </w:rPr>
        <w:tab/>
      </w:r>
      <w:r>
        <w:rPr>
          <w:noProof/>
        </w:rPr>
        <w:fldChar w:fldCharType="begin"/>
      </w:r>
      <w:r>
        <w:rPr>
          <w:noProof/>
        </w:rPr>
        <w:instrText xml:space="preserve"> PAGEREF _Toc154072878 \h </w:instrText>
      </w:r>
      <w:r>
        <w:rPr>
          <w:noProof/>
        </w:rPr>
      </w:r>
      <w:r>
        <w:rPr>
          <w:noProof/>
        </w:rPr>
        <w:fldChar w:fldCharType="separate"/>
      </w:r>
      <w:r>
        <w:rPr>
          <w:noProof/>
        </w:rPr>
        <w:t>1</w:t>
      </w:r>
      <w:r>
        <w:rPr>
          <w:noProof/>
        </w:rPr>
        <w:fldChar w:fldCharType="end"/>
      </w:r>
    </w:p>
    <w:p w14:paraId="70FF955D" w14:textId="088155BE" w:rsidR="00073E0A" w:rsidRDefault="00073E0A">
      <w:pPr>
        <w:pStyle w:val="TM2"/>
        <w:rPr>
          <w:rFonts w:asciiTheme="minorHAnsi" w:eastAsiaTheme="minorEastAsia" w:hAnsiTheme="minorHAnsi" w:cstheme="minorBidi"/>
          <w:noProof/>
          <w:sz w:val="22"/>
          <w:szCs w:val="22"/>
          <w:lang w:eastAsia="fr-CA"/>
        </w:rPr>
      </w:pPr>
      <w:r>
        <w:rPr>
          <w:noProof/>
        </w:rPr>
        <w:t>Protocole de l’instance</w:t>
      </w:r>
      <w:r>
        <w:rPr>
          <w:noProof/>
        </w:rPr>
        <w:tab/>
      </w:r>
      <w:r>
        <w:rPr>
          <w:noProof/>
        </w:rPr>
        <w:fldChar w:fldCharType="begin"/>
      </w:r>
      <w:r>
        <w:rPr>
          <w:noProof/>
        </w:rPr>
        <w:instrText xml:space="preserve"> PAGEREF _Toc154072879 \h </w:instrText>
      </w:r>
      <w:r>
        <w:rPr>
          <w:noProof/>
        </w:rPr>
      </w:r>
      <w:r>
        <w:rPr>
          <w:noProof/>
        </w:rPr>
        <w:fldChar w:fldCharType="separate"/>
      </w:r>
      <w:r>
        <w:rPr>
          <w:noProof/>
        </w:rPr>
        <w:t>1</w:t>
      </w:r>
      <w:r>
        <w:rPr>
          <w:noProof/>
        </w:rPr>
        <w:fldChar w:fldCharType="end"/>
      </w:r>
    </w:p>
    <w:p w14:paraId="18120FA4" w14:textId="1E5C5D1B" w:rsidR="00073E0A" w:rsidRDefault="00073E0A">
      <w:pPr>
        <w:pStyle w:val="TM2"/>
        <w:rPr>
          <w:rFonts w:asciiTheme="minorHAnsi" w:eastAsiaTheme="minorEastAsia" w:hAnsiTheme="minorHAnsi" w:cstheme="minorBidi"/>
          <w:noProof/>
          <w:sz w:val="22"/>
          <w:szCs w:val="22"/>
          <w:lang w:eastAsia="fr-CA"/>
        </w:rPr>
      </w:pPr>
      <w:r>
        <w:rPr>
          <w:noProof/>
        </w:rPr>
        <w:t>Conférence de gestion</w:t>
      </w:r>
      <w:r>
        <w:rPr>
          <w:noProof/>
        </w:rPr>
        <w:tab/>
      </w:r>
      <w:r>
        <w:rPr>
          <w:noProof/>
        </w:rPr>
        <w:fldChar w:fldCharType="begin"/>
      </w:r>
      <w:r>
        <w:rPr>
          <w:noProof/>
        </w:rPr>
        <w:instrText xml:space="preserve"> PAGEREF _Toc154072880 \h </w:instrText>
      </w:r>
      <w:r>
        <w:rPr>
          <w:noProof/>
        </w:rPr>
      </w:r>
      <w:r>
        <w:rPr>
          <w:noProof/>
        </w:rPr>
        <w:fldChar w:fldCharType="separate"/>
      </w:r>
      <w:r>
        <w:rPr>
          <w:noProof/>
        </w:rPr>
        <w:t>2</w:t>
      </w:r>
      <w:r>
        <w:rPr>
          <w:noProof/>
        </w:rPr>
        <w:fldChar w:fldCharType="end"/>
      </w:r>
    </w:p>
    <w:p w14:paraId="07EECDFD" w14:textId="4BBB77D2" w:rsidR="00073E0A" w:rsidRDefault="00073E0A">
      <w:pPr>
        <w:pStyle w:val="TM2"/>
        <w:rPr>
          <w:rFonts w:asciiTheme="minorHAnsi" w:eastAsiaTheme="minorEastAsia" w:hAnsiTheme="minorHAnsi" w:cstheme="minorBidi"/>
          <w:noProof/>
          <w:sz w:val="22"/>
          <w:szCs w:val="22"/>
          <w:lang w:eastAsia="fr-CA"/>
        </w:rPr>
      </w:pPr>
      <w:r>
        <w:rPr>
          <w:noProof/>
        </w:rPr>
        <w:t>Gestion particulière</w:t>
      </w:r>
      <w:r>
        <w:rPr>
          <w:noProof/>
        </w:rPr>
        <w:tab/>
      </w:r>
      <w:r>
        <w:rPr>
          <w:noProof/>
        </w:rPr>
        <w:fldChar w:fldCharType="begin"/>
      </w:r>
      <w:r>
        <w:rPr>
          <w:noProof/>
        </w:rPr>
        <w:instrText xml:space="preserve"> PAGEREF _Toc154072881 \h </w:instrText>
      </w:r>
      <w:r>
        <w:rPr>
          <w:noProof/>
        </w:rPr>
      </w:r>
      <w:r>
        <w:rPr>
          <w:noProof/>
        </w:rPr>
        <w:fldChar w:fldCharType="separate"/>
      </w:r>
      <w:r>
        <w:rPr>
          <w:noProof/>
        </w:rPr>
        <w:t>2</w:t>
      </w:r>
      <w:r>
        <w:rPr>
          <w:noProof/>
        </w:rPr>
        <w:fldChar w:fldCharType="end"/>
      </w:r>
    </w:p>
    <w:p w14:paraId="6F611A5B" w14:textId="0214EAEF" w:rsidR="00073E0A" w:rsidRDefault="00073E0A">
      <w:pPr>
        <w:pStyle w:val="TM2"/>
        <w:rPr>
          <w:rFonts w:asciiTheme="minorHAnsi" w:eastAsiaTheme="minorEastAsia" w:hAnsiTheme="minorHAnsi" w:cstheme="minorBidi"/>
          <w:noProof/>
          <w:sz w:val="22"/>
          <w:szCs w:val="22"/>
          <w:lang w:eastAsia="fr-CA"/>
        </w:rPr>
      </w:pPr>
      <w:r>
        <w:rPr>
          <w:noProof/>
        </w:rPr>
        <w:t>Cause fixée par préférence</w:t>
      </w:r>
      <w:r>
        <w:rPr>
          <w:noProof/>
        </w:rPr>
        <w:tab/>
      </w:r>
      <w:r>
        <w:rPr>
          <w:noProof/>
        </w:rPr>
        <w:fldChar w:fldCharType="begin"/>
      </w:r>
      <w:r>
        <w:rPr>
          <w:noProof/>
        </w:rPr>
        <w:instrText xml:space="preserve"> PAGEREF _Toc154072882 \h </w:instrText>
      </w:r>
      <w:r>
        <w:rPr>
          <w:noProof/>
        </w:rPr>
      </w:r>
      <w:r>
        <w:rPr>
          <w:noProof/>
        </w:rPr>
        <w:fldChar w:fldCharType="separate"/>
      </w:r>
      <w:r>
        <w:rPr>
          <w:noProof/>
        </w:rPr>
        <w:t>2</w:t>
      </w:r>
      <w:r>
        <w:rPr>
          <w:noProof/>
        </w:rPr>
        <w:fldChar w:fldCharType="end"/>
      </w:r>
    </w:p>
    <w:p w14:paraId="7B3CFEC7" w14:textId="3EB4D484" w:rsidR="00073E0A" w:rsidRDefault="00073E0A">
      <w:pPr>
        <w:pStyle w:val="TM2"/>
        <w:rPr>
          <w:rFonts w:asciiTheme="minorHAnsi" w:eastAsiaTheme="minorEastAsia" w:hAnsiTheme="minorHAnsi" w:cstheme="minorBidi"/>
          <w:noProof/>
          <w:sz w:val="22"/>
          <w:szCs w:val="22"/>
          <w:lang w:eastAsia="fr-CA"/>
        </w:rPr>
      </w:pPr>
      <w:r>
        <w:rPr>
          <w:noProof/>
        </w:rPr>
        <w:t>Dépôt des actes de procédure, pièces et autres éléments de preuve</w:t>
      </w:r>
      <w:r>
        <w:rPr>
          <w:noProof/>
        </w:rPr>
        <w:tab/>
      </w:r>
      <w:r>
        <w:rPr>
          <w:noProof/>
        </w:rPr>
        <w:fldChar w:fldCharType="begin"/>
      </w:r>
      <w:r>
        <w:rPr>
          <w:noProof/>
        </w:rPr>
        <w:instrText xml:space="preserve"> PAGEREF _Toc154072883 \h </w:instrText>
      </w:r>
      <w:r>
        <w:rPr>
          <w:noProof/>
        </w:rPr>
      </w:r>
      <w:r>
        <w:rPr>
          <w:noProof/>
        </w:rPr>
        <w:fldChar w:fldCharType="separate"/>
      </w:r>
      <w:r>
        <w:rPr>
          <w:noProof/>
        </w:rPr>
        <w:t>3</w:t>
      </w:r>
      <w:r>
        <w:rPr>
          <w:noProof/>
        </w:rPr>
        <w:fldChar w:fldCharType="end"/>
      </w:r>
    </w:p>
    <w:p w14:paraId="6E0723E2" w14:textId="0F21584E" w:rsidR="00073E0A" w:rsidRDefault="00073E0A">
      <w:pPr>
        <w:pStyle w:val="TM2"/>
        <w:rPr>
          <w:rFonts w:asciiTheme="minorHAnsi" w:eastAsiaTheme="minorEastAsia" w:hAnsiTheme="minorHAnsi" w:cstheme="minorBidi"/>
          <w:noProof/>
          <w:sz w:val="22"/>
          <w:szCs w:val="22"/>
          <w:lang w:eastAsia="fr-CA"/>
        </w:rPr>
      </w:pPr>
      <w:r>
        <w:rPr>
          <w:noProof/>
        </w:rPr>
        <w:t>Demandes en cours d’instance</w:t>
      </w:r>
      <w:r>
        <w:rPr>
          <w:noProof/>
        </w:rPr>
        <w:tab/>
      </w:r>
      <w:r>
        <w:rPr>
          <w:noProof/>
        </w:rPr>
        <w:fldChar w:fldCharType="begin"/>
      </w:r>
      <w:r>
        <w:rPr>
          <w:noProof/>
        </w:rPr>
        <w:instrText xml:space="preserve"> PAGEREF _Toc154072884 \h </w:instrText>
      </w:r>
      <w:r>
        <w:rPr>
          <w:noProof/>
        </w:rPr>
      </w:r>
      <w:r>
        <w:rPr>
          <w:noProof/>
        </w:rPr>
        <w:fldChar w:fldCharType="separate"/>
      </w:r>
      <w:r>
        <w:rPr>
          <w:noProof/>
        </w:rPr>
        <w:t>4</w:t>
      </w:r>
      <w:r>
        <w:rPr>
          <w:noProof/>
        </w:rPr>
        <w:fldChar w:fldCharType="end"/>
      </w:r>
    </w:p>
    <w:p w14:paraId="22F87E3A" w14:textId="7A5C665F" w:rsidR="00073E0A" w:rsidRDefault="00073E0A">
      <w:pPr>
        <w:pStyle w:val="TM2"/>
        <w:rPr>
          <w:rFonts w:asciiTheme="minorHAnsi" w:eastAsiaTheme="minorEastAsia" w:hAnsiTheme="minorHAnsi" w:cstheme="minorBidi"/>
          <w:noProof/>
          <w:sz w:val="22"/>
          <w:szCs w:val="22"/>
          <w:lang w:eastAsia="fr-CA"/>
        </w:rPr>
      </w:pPr>
      <w:r>
        <w:rPr>
          <w:noProof/>
        </w:rPr>
        <w:t>Règles particulières s’appliquant aux demandes d'ordonnance de sauvegarde en matière familiale</w:t>
      </w:r>
      <w:r>
        <w:rPr>
          <w:noProof/>
        </w:rPr>
        <w:tab/>
      </w:r>
      <w:r>
        <w:rPr>
          <w:noProof/>
        </w:rPr>
        <w:fldChar w:fldCharType="begin"/>
      </w:r>
      <w:r>
        <w:rPr>
          <w:noProof/>
        </w:rPr>
        <w:instrText xml:space="preserve"> PAGEREF _Toc154072885 \h </w:instrText>
      </w:r>
      <w:r>
        <w:rPr>
          <w:noProof/>
        </w:rPr>
      </w:r>
      <w:r>
        <w:rPr>
          <w:noProof/>
        </w:rPr>
        <w:fldChar w:fldCharType="separate"/>
      </w:r>
      <w:r>
        <w:rPr>
          <w:noProof/>
        </w:rPr>
        <w:t>5</w:t>
      </w:r>
      <w:r>
        <w:rPr>
          <w:noProof/>
        </w:rPr>
        <w:fldChar w:fldCharType="end"/>
      </w:r>
    </w:p>
    <w:p w14:paraId="320F4AEB" w14:textId="3EF23473" w:rsidR="00073E0A" w:rsidRDefault="00073E0A">
      <w:pPr>
        <w:pStyle w:val="TM2"/>
        <w:rPr>
          <w:rFonts w:asciiTheme="minorHAnsi" w:eastAsiaTheme="minorEastAsia" w:hAnsiTheme="minorHAnsi" w:cstheme="minorBidi"/>
          <w:noProof/>
          <w:sz w:val="22"/>
          <w:szCs w:val="22"/>
          <w:lang w:eastAsia="fr-CA"/>
        </w:rPr>
      </w:pPr>
      <w:r>
        <w:rPr>
          <w:noProof/>
        </w:rPr>
        <w:t>Objections</w:t>
      </w:r>
      <w:r>
        <w:rPr>
          <w:noProof/>
        </w:rPr>
        <w:tab/>
      </w:r>
      <w:r>
        <w:rPr>
          <w:noProof/>
        </w:rPr>
        <w:fldChar w:fldCharType="begin"/>
      </w:r>
      <w:r>
        <w:rPr>
          <w:noProof/>
        </w:rPr>
        <w:instrText xml:space="preserve"> PAGEREF _Toc154072886 \h </w:instrText>
      </w:r>
      <w:r>
        <w:rPr>
          <w:noProof/>
        </w:rPr>
      </w:r>
      <w:r>
        <w:rPr>
          <w:noProof/>
        </w:rPr>
        <w:fldChar w:fldCharType="separate"/>
      </w:r>
      <w:r>
        <w:rPr>
          <w:noProof/>
        </w:rPr>
        <w:t>6</w:t>
      </w:r>
      <w:r>
        <w:rPr>
          <w:noProof/>
        </w:rPr>
        <w:fldChar w:fldCharType="end"/>
      </w:r>
    </w:p>
    <w:p w14:paraId="0FB9D6AA" w14:textId="17688158" w:rsidR="00073E0A" w:rsidRDefault="00073E0A">
      <w:pPr>
        <w:pStyle w:val="TM2"/>
        <w:rPr>
          <w:rFonts w:asciiTheme="minorHAnsi" w:eastAsiaTheme="minorEastAsia" w:hAnsiTheme="minorHAnsi" w:cstheme="minorBidi"/>
          <w:noProof/>
          <w:sz w:val="22"/>
          <w:szCs w:val="22"/>
          <w:lang w:eastAsia="fr-CA"/>
        </w:rPr>
      </w:pPr>
      <w:r>
        <w:rPr>
          <w:noProof/>
        </w:rPr>
        <w:t>Juge en son cabinet et juge de garde</w:t>
      </w:r>
      <w:r>
        <w:rPr>
          <w:noProof/>
        </w:rPr>
        <w:tab/>
      </w:r>
      <w:r>
        <w:rPr>
          <w:noProof/>
        </w:rPr>
        <w:fldChar w:fldCharType="begin"/>
      </w:r>
      <w:r>
        <w:rPr>
          <w:noProof/>
        </w:rPr>
        <w:instrText xml:space="preserve"> PAGEREF _Toc154072887 \h </w:instrText>
      </w:r>
      <w:r>
        <w:rPr>
          <w:noProof/>
        </w:rPr>
      </w:r>
      <w:r>
        <w:rPr>
          <w:noProof/>
        </w:rPr>
        <w:fldChar w:fldCharType="separate"/>
      </w:r>
      <w:r>
        <w:rPr>
          <w:noProof/>
        </w:rPr>
        <w:t>6</w:t>
      </w:r>
      <w:r>
        <w:rPr>
          <w:noProof/>
        </w:rPr>
        <w:fldChar w:fldCharType="end"/>
      </w:r>
    </w:p>
    <w:p w14:paraId="676D018F" w14:textId="558FEC43" w:rsidR="00073E0A" w:rsidRDefault="00073E0A">
      <w:pPr>
        <w:pStyle w:val="TM2"/>
        <w:rPr>
          <w:rFonts w:asciiTheme="minorHAnsi" w:eastAsiaTheme="minorEastAsia" w:hAnsiTheme="minorHAnsi" w:cstheme="minorBidi"/>
          <w:noProof/>
          <w:sz w:val="22"/>
          <w:szCs w:val="22"/>
          <w:lang w:eastAsia="fr-CA"/>
        </w:rPr>
      </w:pPr>
      <w:r>
        <w:rPr>
          <w:noProof/>
        </w:rPr>
        <w:t>Pourvoi en contrôle judiciaire</w:t>
      </w:r>
      <w:r>
        <w:rPr>
          <w:noProof/>
        </w:rPr>
        <w:tab/>
      </w:r>
      <w:r>
        <w:rPr>
          <w:noProof/>
        </w:rPr>
        <w:fldChar w:fldCharType="begin"/>
      </w:r>
      <w:r>
        <w:rPr>
          <w:noProof/>
        </w:rPr>
        <w:instrText xml:space="preserve"> PAGEREF _Toc154072888 \h </w:instrText>
      </w:r>
      <w:r>
        <w:rPr>
          <w:noProof/>
        </w:rPr>
      </w:r>
      <w:r>
        <w:rPr>
          <w:noProof/>
        </w:rPr>
        <w:fldChar w:fldCharType="separate"/>
      </w:r>
      <w:r>
        <w:rPr>
          <w:noProof/>
        </w:rPr>
        <w:t>7</w:t>
      </w:r>
      <w:r>
        <w:rPr>
          <w:noProof/>
        </w:rPr>
        <w:fldChar w:fldCharType="end"/>
      </w:r>
    </w:p>
    <w:p w14:paraId="5BE1C7EE" w14:textId="415BED54" w:rsidR="00073E0A" w:rsidRDefault="00073E0A">
      <w:pPr>
        <w:pStyle w:val="TM2"/>
        <w:rPr>
          <w:rFonts w:asciiTheme="minorHAnsi" w:eastAsiaTheme="minorEastAsia" w:hAnsiTheme="minorHAnsi" w:cstheme="minorBidi"/>
          <w:noProof/>
          <w:sz w:val="22"/>
          <w:szCs w:val="22"/>
          <w:lang w:eastAsia="fr-CA"/>
        </w:rPr>
      </w:pPr>
      <w:r>
        <w:rPr>
          <w:noProof/>
        </w:rPr>
        <w:t>Demande pour autorisation de soins</w:t>
      </w:r>
      <w:r>
        <w:rPr>
          <w:noProof/>
        </w:rPr>
        <w:tab/>
      </w:r>
      <w:r>
        <w:rPr>
          <w:noProof/>
        </w:rPr>
        <w:fldChar w:fldCharType="begin"/>
      </w:r>
      <w:r>
        <w:rPr>
          <w:noProof/>
        </w:rPr>
        <w:instrText xml:space="preserve"> PAGEREF _Toc154072889 \h </w:instrText>
      </w:r>
      <w:r>
        <w:rPr>
          <w:noProof/>
        </w:rPr>
      </w:r>
      <w:r>
        <w:rPr>
          <w:noProof/>
        </w:rPr>
        <w:fldChar w:fldCharType="separate"/>
      </w:r>
      <w:r>
        <w:rPr>
          <w:noProof/>
        </w:rPr>
        <w:t>7</w:t>
      </w:r>
      <w:r>
        <w:rPr>
          <w:noProof/>
        </w:rPr>
        <w:fldChar w:fldCharType="end"/>
      </w:r>
    </w:p>
    <w:p w14:paraId="7FBFCE66" w14:textId="7A4126EB" w:rsidR="00073E0A" w:rsidRDefault="00073E0A">
      <w:pPr>
        <w:pStyle w:val="TM2"/>
        <w:rPr>
          <w:rFonts w:asciiTheme="minorHAnsi" w:eastAsiaTheme="minorEastAsia" w:hAnsiTheme="minorHAnsi" w:cstheme="minorBidi"/>
          <w:noProof/>
          <w:sz w:val="22"/>
          <w:szCs w:val="22"/>
          <w:lang w:eastAsia="fr-CA"/>
        </w:rPr>
      </w:pPr>
      <w:r>
        <w:rPr>
          <w:noProof/>
        </w:rPr>
        <w:t>Instances jointes</w:t>
      </w:r>
      <w:r>
        <w:rPr>
          <w:noProof/>
        </w:rPr>
        <w:tab/>
      </w:r>
      <w:r>
        <w:rPr>
          <w:noProof/>
        </w:rPr>
        <w:fldChar w:fldCharType="begin"/>
      </w:r>
      <w:r>
        <w:rPr>
          <w:noProof/>
        </w:rPr>
        <w:instrText xml:space="preserve"> PAGEREF _Toc154072890 \h </w:instrText>
      </w:r>
      <w:r>
        <w:rPr>
          <w:noProof/>
        </w:rPr>
      </w:r>
      <w:r>
        <w:rPr>
          <w:noProof/>
        </w:rPr>
        <w:fldChar w:fldCharType="separate"/>
      </w:r>
      <w:r>
        <w:rPr>
          <w:noProof/>
        </w:rPr>
        <w:t>8</w:t>
      </w:r>
      <w:r>
        <w:rPr>
          <w:noProof/>
        </w:rPr>
        <w:fldChar w:fldCharType="end"/>
      </w:r>
    </w:p>
    <w:p w14:paraId="7C5E1031" w14:textId="21302BF3" w:rsidR="00073E0A" w:rsidRDefault="00073E0A">
      <w:pPr>
        <w:pStyle w:val="TM2"/>
        <w:rPr>
          <w:rFonts w:asciiTheme="minorHAnsi" w:eastAsiaTheme="minorEastAsia" w:hAnsiTheme="minorHAnsi" w:cstheme="minorBidi"/>
          <w:noProof/>
          <w:sz w:val="22"/>
          <w:szCs w:val="22"/>
          <w:lang w:eastAsia="fr-CA"/>
        </w:rPr>
      </w:pPr>
      <w:r>
        <w:rPr>
          <w:noProof/>
        </w:rPr>
        <w:t>Outrage au tribunal</w:t>
      </w:r>
      <w:r>
        <w:rPr>
          <w:noProof/>
        </w:rPr>
        <w:tab/>
      </w:r>
      <w:r>
        <w:rPr>
          <w:noProof/>
        </w:rPr>
        <w:fldChar w:fldCharType="begin"/>
      </w:r>
      <w:r>
        <w:rPr>
          <w:noProof/>
        </w:rPr>
        <w:instrText xml:space="preserve"> PAGEREF _Toc154072891 \h </w:instrText>
      </w:r>
      <w:r>
        <w:rPr>
          <w:noProof/>
        </w:rPr>
      </w:r>
      <w:r>
        <w:rPr>
          <w:noProof/>
        </w:rPr>
        <w:fldChar w:fldCharType="separate"/>
      </w:r>
      <w:r>
        <w:rPr>
          <w:noProof/>
        </w:rPr>
        <w:t>9</w:t>
      </w:r>
      <w:r>
        <w:rPr>
          <w:noProof/>
        </w:rPr>
        <w:fldChar w:fldCharType="end"/>
      </w:r>
    </w:p>
    <w:p w14:paraId="3FA032CB" w14:textId="2E8BD002" w:rsidR="00073E0A" w:rsidRDefault="00073E0A">
      <w:pPr>
        <w:pStyle w:val="TM2"/>
        <w:rPr>
          <w:rFonts w:asciiTheme="minorHAnsi" w:eastAsiaTheme="minorEastAsia" w:hAnsiTheme="minorHAnsi" w:cstheme="minorBidi"/>
          <w:noProof/>
          <w:sz w:val="22"/>
          <w:szCs w:val="22"/>
          <w:lang w:eastAsia="fr-CA"/>
        </w:rPr>
      </w:pPr>
      <w:r>
        <w:rPr>
          <w:noProof/>
        </w:rPr>
        <w:t>Mise en état du dossier</w:t>
      </w:r>
      <w:r>
        <w:rPr>
          <w:noProof/>
        </w:rPr>
        <w:tab/>
      </w:r>
      <w:r>
        <w:rPr>
          <w:noProof/>
        </w:rPr>
        <w:fldChar w:fldCharType="begin"/>
      </w:r>
      <w:r>
        <w:rPr>
          <w:noProof/>
        </w:rPr>
        <w:instrText xml:space="preserve"> PAGEREF _Toc154072892 \h </w:instrText>
      </w:r>
      <w:r>
        <w:rPr>
          <w:noProof/>
        </w:rPr>
      </w:r>
      <w:r>
        <w:rPr>
          <w:noProof/>
        </w:rPr>
        <w:fldChar w:fldCharType="separate"/>
      </w:r>
      <w:r>
        <w:rPr>
          <w:noProof/>
        </w:rPr>
        <w:t>9</w:t>
      </w:r>
      <w:r>
        <w:rPr>
          <w:noProof/>
        </w:rPr>
        <w:fldChar w:fldCharType="end"/>
      </w:r>
    </w:p>
    <w:p w14:paraId="7FC96D7C" w14:textId="4E215386" w:rsidR="00073E0A" w:rsidRDefault="00073E0A">
      <w:pPr>
        <w:pStyle w:val="TM2"/>
        <w:rPr>
          <w:rFonts w:asciiTheme="minorHAnsi" w:eastAsiaTheme="minorEastAsia" w:hAnsiTheme="minorHAnsi" w:cstheme="minorBidi"/>
          <w:noProof/>
          <w:sz w:val="22"/>
          <w:szCs w:val="22"/>
          <w:lang w:eastAsia="fr-CA"/>
        </w:rPr>
      </w:pPr>
      <w:r>
        <w:rPr>
          <w:noProof/>
        </w:rPr>
        <w:t>Avis de dossier incomplet (ADI)</w:t>
      </w:r>
      <w:r>
        <w:rPr>
          <w:noProof/>
        </w:rPr>
        <w:tab/>
      </w:r>
      <w:r>
        <w:rPr>
          <w:noProof/>
        </w:rPr>
        <w:fldChar w:fldCharType="begin"/>
      </w:r>
      <w:r>
        <w:rPr>
          <w:noProof/>
        </w:rPr>
        <w:instrText xml:space="preserve"> PAGEREF _Toc154072893 \h </w:instrText>
      </w:r>
      <w:r>
        <w:rPr>
          <w:noProof/>
        </w:rPr>
      </w:r>
      <w:r>
        <w:rPr>
          <w:noProof/>
        </w:rPr>
        <w:fldChar w:fldCharType="separate"/>
      </w:r>
      <w:r>
        <w:rPr>
          <w:noProof/>
        </w:rPr>
        <w:t>9</w:t>
      </w:r>
      <w:r>
        <w:rPr>
          <w:noProof/>
        </w:rPr>
        <w:fldChar w:fldCharType="end"/>
      </w:r>
    </w:p>
    <w:p w14:paraId="6D7A22C8" w14:textId="0ECAC767" w:rsidR="00073E0A" w:rsidRDefault="00073E0A">
      <w:pPr>
        <w:pStyle w:val="TM2"/>
        <w:rPr>
          <w:rFonts w:asciiTheme="minorHAnsi" w:eastAsiaTheme="minorEastAsia" w:hAnsiTheme="minorHAnsi" w:cstheme="minorBidi"/>
          <w:noProof/>
          <w:sz w:val="22"/>
          <w:szCs w:val="22"/>
          <w:lang w:eastAsia="fr-CA"/>
        </w:rPr>
      </w:pPr>
      <w:r>
        <w:rPr>
          <w:noProof/>
        </w:rPr>
        <w:t>Rôle provisoire</w:t>
      </w:r>
      <w:r>
        <w:rPr>
          <w:noProof/>
        </w:rPr>
        <w:tab/>
      </w:r>
      <w:r>
        <w:rPr>
          <w:noProof/>
        </w:rPr>
        <w:fldChar w:fldCharType="begin"/>
      </w:r>
      <w:r>
        <w:rPr>
          <w:noProof/>
        </w:rPr>
        <w:instrText xml:space="preserve"> PAGEREF _Toc154072894 \h </w:instrText>
      </w:r>
      <w:r>
        <w:rPr>
          <w:noProof/>
        </w:rPr>
      </w:r>
      <w:r>
        <w:rPr>
          <w:noProof/>
        </w:rPr>
        <w:fldChar w:fldCharType="separate"/>
      </w:r>
      <w:r>
        <w:rPr>
          <w:noProof/>
        </w:rPr>
        <w:t>9</w:t>
      </w:r>
      <w:r>
        <w:rPr>
          <w:noProof/>
        </w:rPr>
        <w:fldChar w:fldCharType="end"/>
      </w:r>
    </w:p>
    <w:p w14:paraId="019552DD" w14:textId="3CB06588" w:rsidR="00073E0A" w:rsidRDefault="00073E0A">
      <w:pPr>
        <w:pStyle w:val="TM2"/>
        <w:rPr>
          <w:rFonts w:asciiTheme="minorHAnsi" w:eastAsiaTheme="minorEastAsia" w:hAnsiTheme="minorHAnsi" w:cstheme="minorBidi"/>
          <w:noProof/>
          <w:sz w:val="22"/>
          <w:szCs w:val="22"/>
          <w:lang w:eastAsia="fr-CA"/>
        </w:rPr>
      </w:pPr>
      <w:r>
        <w:rPr>
          <w:noProof/>
        </w:rPr>
        <w:t>Règles particulières applicables aux demandes traitées suivant la procédure non contentieuse</w:t>
      </w:r>
      <w:r>
        <w:rPr>
          <w:noProof/>
        </w:rPr>
        <w:tab/>
      </w:r>
      <w:r>
        <w:rPr>
          <w:noProof/>
        </w:rPr>
        <w:fldChar w:fldCharType="begin"/>
      </w:r>
      <w:r>
        <w:rPr>
          <w:noProof/>
        </w:rPr>
        <w:instrText xml:space="preserve"> PAGEREF _Toc154072895 \h </w:instrText>
      </w:r>
      <w:r>
        <w:rPr>
          <w:noProof/>
        </w:rPr>
      </w:r>
      <w:r>
        <w:rPr>
          <w:noProof/>
        </w:rPr>
        <w:fldChar w:fldCharType="separate"/>
      </w:r>
      <w:r>
        <w:rPr>
          <w:noProof/>
        </w:rPr>
        <w:t>10</w:t>
      </w:r>
      <w:r>
        <w:rPr>
          <w:noProof/>
        </w:rPr>
        <w:fldChar w:fldCharType="end"/>
      </w:r>
    </w:p>
    <w:p w14:paraId="589893AB" w14:textId="2AD0B297" w:rsidR="00073E0A" w:rsidRDefault="00073E0A">
      <w:pPr>
        <w:pStyle w:val="TM2"/>
        <w:rPr>
          <w:rFonts w:asciiTheme="minorHAnsi" w:eastAsiaTheme="minorEastAsia" w:hAnsiTheme="minorHAnsi" w:cstheme="minorBidi"/>
          <w:noProof/>
          <w:sz w:val="22"/>
          <w:szCs w:val="22"/>
          <w:lang w:eastAsia="fr-CA"/>
        </w:rPr>
      </w:pPr>
      <w:r>
        <w:rPr>
          <w:noProof/>
        </w:rPr>
        <w:t>Représentations à distance</w:t>
      </w:r>
      <w:r>
        <w:rPr>
          <w:noProof/>
        </w:rPr>
        <w:tab/>
      </w:r>
      <w:r>
        <w:rPr>
          <w:noProof/>
        </w:rPr>
        <w:fldChar w:fldCharType="begin"/>
      </w:r>
      <w:r>
        <w:rPr>
          <w:noProof/>
        </w:rPr>
        <w:instrText xml:space="preserve"> PAGEREF _Toc154072896 \h </w:instrText>
      </w:r>
      <w:r>
        <w:rPr>
          <w:noProof/>
        </w:rPr>
      </w:r>
      <w:r>
        <w:rPr>
          <w:noProof/>
        </w:rPr>
        <w:fldChar w:fldCharType="separate"/>
      </w:r>
      <w:r>
        <w:rPr>
          <w:noProof/>
        </w:rPr>
        <w:t>10</w:t>
      </w:r>
      <w:r>
        <w:rPr>
          <w:noProof/>
        </w:rPr>
        <w:fldChar w:fldCharType="end"/>
      </w:r>
    </w:p>
    <w:p w14:paraId="7065E77A" w14:textId="4B9163D2" w:rsidR="00073E0A" w:rsidRDefault="00073E0A">
      <w:pPr>
        <w:pStyle w:val="TM2"/>
        <w:rPr>
          <w:rFonts w:asciiTheme="minorHAnsi" w:eastAsiaTheme="minorEastAsia" w:hAnsiTheme="minorHAnsi" w:cstheme="minorBidi"/>
          <w:noProof/>
          <w:sz w:val="22"/>
          <w:szCs w:val="22"/>
          <w:lang w:eastAsia="fr-CA"/>
        </w:rPr>
      </w:pPr>
      <w:r>
        <w:rPr>
          <w:noProof/>
        </w:rPr>
        <w:t>Sources</w:t>
      </w:r>
      <w:r>
        <w:rPr>
          <w:noProof/>
        </w:rPr>
        <w:tab/>
      </w:r>
      <w:r>
        <w:rPr>
          <w:noProof/>
        </w:rPr>
        <w:fldChar w:fldCharType="begin"/>
      </w:r>
      <w:r>
        <w:rPr>
          <w:noProof/>
        </w:rPr>
        <w:instrText xml:space="preserve"> PAGEREF _Toc154072897 \h </w:instrText>
      </w:r>
      <w:r>
        <w:rPr>
          <w:noProof/>
        </w:rPr>
      </w:r>
      <w:r>
        <w:rPr>
          <w:noProof/>
        </w:rPr>
        <w:fldChar w:fldCharType="separate"/>
      </w:r>
      <w:r>
        <w:rPr>
          <w:noProof/>
        </w:rPr>
        <w:t>11</w:t>
      </w:r>
      <w:r>
        <w:rPr>
          <w:noProof/>
        </w:rPr>
        <w:fldChar w:fldCharType="end"/>
      </w:r>
    </w:p>
    <w:p w14:paraId="106E2F41" w14:textId="258369C0" w:rsidR="00073E0A" w:rsidRDefault="00073E0A">
      <w:pPr>
        <w:pStyle w:val="TM2"/>
        <w:rPr>
          <w:rFonts w:asciiTheme="minorHAnsi" w:eastAsiaTheme="minorEastAsia" w:hAnsiTheme="minorHAnsi" w:cstheme="minorBidi"/>
          <w:noProof/>
          <w:sz w:val="22"/>
          <w:szCs w:val="22"/>
          <w:lang w:eastAsia="fr-CA"/>
        </w:rPr>
      </w:pPr>
      <w:r>
        <w:rPr>
          <w:noProof/>
        </w:rPr>
        <w:t>Utilisation des technologies en salle d’audience</w:t>
      </w:r>
      <w:r>
        <w:rPr>
          <w:noProof/>
        </w:rPr>
        <w:tab/>
      </w:r>
      <w:r>
        <w:rPr>
          <w:noProof/>
        </w:rPr>
        <w:fldChar w:fldCharType="begin"/>
      </w:r>
      <w:r>
        <w:rPr>
          <w:noProof/>
        </w:rPr>
        <w:instrText xml:space="preserve"> PAGEREF _Toc154072898 \h </w:instrText>
      </w:r>
      <w:r>
        <w:rPr>
          <w:noProof/>
        </w:rPr>
      </w:r>
      <w:r>
        <w:rPr>
          <w:noProof/>
        </w:rPr>
        <w:fldChar w:fldCharType="separate"/>
      </w:r>
      <w:r>
        <w:rPr>
          <w:noProof/>
        </w:rPr>
        <w:t>12</w:t>
      </w:r>
      <w:r>
        <w:rPr>
          <w:noProof/>
        </w:rPr>
        <w:fldChar w:fldCharType="end"/>
      </w:r>
    </w:p>
    <w:p w14:paraId="6E1794DF" w14:textId="0503763B" w:rsidR="00073E0A" w:rsidRDefault="00073E0A">
      <w:pPr>
        <w:pStyle w:val="TM2"/>
        <w:rPr>
          <w:rFonts w:asciiTheme="minorHAnsi" w:eastAsiaTheme="minorEastAsia" w:hAnsiTheme="minorHAnsi" w:cstheme="minorBidi"/>
          <w:noProof/>
          <w:sz w:val="22"/>
          <w:szCs w:val="22"/>
          <w:lang w:eastAsia="fr-CA"/>
        </w:rPr>
      </w:pPr>
      <w:r>
        <w:rPr>
          <w:noProof/>
        </w:rPr>
        <w:lastRenderedPageBreak/>
        <w:t>Communications avec un juge ou le tribunal</w:t>
      </w:r>
      <w:r>
        <w:rPr>
          <w:noProof/>
        </w:rPr>
        <w:tab/>
      </w:r>
      <w:r>
        <w:rPr>
          <w:noProof/>
        </w:rPr>
        <w:fldChar w:fldCharType="begin"/>
      </w:r>
      <w:r>
        <w:rPr>
          <w:noProof/>
        </w:rPr>
        <w:instrText xml:space="preserve"> PAGEREF _Toc154072899 \h </w:instrText>
      </w:r>
      <w:r>
        <w:rPr>
          <w:noProof/>
        </w:rPr>
      </w:r>
      <w:r>
        <w:rPr>
          <w:noProof/>
        </w:rPr>
        <w:fldChar w:fldCharType="separate"/>
      </w:r>
      <w:r>
        <w:rPr>
          <w:noProof/>
        </w:rPr>
        <w:t>13</w:t>
      </w:r>
      <w:r>
        <w:rPr>
          <w:noProof/>
        </w:rPr>
        <w:fldChar w:fldCharType="end"/>
      </w:r>
    </w:p>
    <w:p w14:paraId="19B71B10" w14:textId="62B2FEE8" w:rsidR="00073E0A" w:rsidRDefault="00073E0A">
      <w:pPr>
        <w:pStyle w:val="TM1"/>
        <w:tabs>
          <w:tab w:val="right" w:leader="dot" w:pos="8590"/>
        </w:tabs>
        <w:rPr>
          <w:rFonts w:asciiTheme="minorHAnsi" w:eastAsiaTheme="minorEastAsia" w:hAnsiTheme="minorHAnsi" w:cstheme="minorBidi"/>
          <w:b w:val="0"/>
          <w:bCs w:val="0"/>
          <w:caps w:val="0"/>
          <w:noProof/>
          <w:sz w:val="22"/>
          <w:szCs w:val="22"/>
          <w:lang w:eastAsia="fr-CA"/>
        </w:rPr>
      </w:pPr>
      <w:r>
        <w:rPr>
          <w:noProof/>
        </w:rPr>
        <w:t>CHAMBRE DES CONFÉRENCES DE RÈGLEMENT À L’AMIABLE</w:t>
      </w:r>
      <w:r>
        <w:rPr>
          <w:noProof/>
        </w:rPr>
        <w:tab/>
      </w:r>
      <w:r>
        <w:rPr>
          <w:noProof/>
        </w:rPr>
        <w:fldChar w:fldCharType="begin"/>
      </w:r>
      <w:r>
        <w:rPr>
          <w:noProof/>
        </w:rPr>
        <w:instrText xml:space="preserve"> PAGEREF _Toc154072900 \h </w:instrText>
      </w:r>
      <w:r>
        <w:rPr>
          <w:noProof/>
        </w:rPr>
      </w:r>
      <w:r>
        <w:rPr>
          <w:noProof/>
        </w:rPr>
        <w:fldChar w:fldCharType="separate"/>
      </w:r>
      <w:r>
        <w:rPr>
          <w:noProof/>
        </w:rPr>
        <w:t>13</w:t>
      </w:r>
      <w:r>
        <w:rPr>
          <w:noProof/>
        </w:rPr>
        <w:fldChar w:fldCharType="end"/>
      </w:r>
    </w:p>
    <w:p w14:paraId="2095E598" w14:textId="7C3DDC82" w:rsidR="00073E0A" w:rsidRDefault="00073E0A">
      <w:pPr>
        <w:pStyle w:val="TM1"/>
        <w:tabs>
          <w:tab w:val="right" w:leader="dot" w:pos="8590"/>
        </w:tabs>
        <w:rPr>
          <w:rFonts w:asciiTheme="minorHAnsi" w:eastAsiaTheme="minorEastAsia" w:hAnsiTheme="minorHAnsi" w:cstheme="minorBidi"/>
          <w:b w:val="0"/>
          <w:bCs w:val="0"/>
          <w:caps w:val="0"/>
          <w:noProof/>
          <w:sz w:val="22"/>
          <w:szCs w:val="22"/>
          <w:lang w:eastAsia="fr-CA"/>
        </w:rPr>
      </w:pPr>
      <w:r>
        <w:rPr>
          <w:noProof/>
        </w:rPr>
        <w:t>CHAMBRE DES ACTIONS COLLECTIVES</w:t>
      </w:r>
      <w:r>
        <w:rPr>
          <w:noProof/>
        </w:rPr>
        <w:tab/>
      </w:r>
      <w:r>
        <w:rPr>
          <w:noProof/>
        </w:rPr>
        <w:fldChar w:fldCharType="begin"/>
      </w:r>
      <w:r>
        <w:rPr>
          <w:noProof/>
        </w:rPr>
        <w:instrText xml:space="preserve"> PAGEREF _Toc154072901 \h </w:instrText>
      </w:r>
      <w:r>
        <w:rPr>
          <w:noProof/>
        </w:rPr>
      </w:r>
      <w:r>
        <w:rPr>
          <w:noProof/>
        </w:rPr>
        <w:fldChar w:fldCharType="separate"/>
      </w:r>
      <w:r>
        <w:rPr>
          <w:noProof/>
        </w:rPr>
        <w:t>14</w:t>
      </w:r>
      <w:r>
        <w:rPr>
          <w:noProof/>
        </w:rPr>
        <w:fldChar w:fldCharType="end"/>
      </w:r>
    </w:p>
    <w:p w14:paraId="3195B536" w14:textId="701C4C9D" w:rsidR="00073E0A" w:rsidRDefault="00073E0A">
      <w:pPr>
        <w:pStyle w:val="TM2"/>
        <w:rPr>
          <w:rFonts w:asciiTheme="minorHAnsi" w:eastAsiaTheme="minorEastAsia" w:hAnsiTheme="minorHAnsi" w:cstheme="minorBidi"/>
          <w:noProof/>
          <w:sz w:val="22"/>
          <w:szCs w:val="22"/>
          <w:lang w:eastAsia="fr-CA"/>
        </w:rPr>
      </w:pPr>
      <w:r>
        <w:rPr>
          <w:noProof/>
        </w:rPr>
        <w:t>Demande pour mode spécial de signification</w:t>
      </w:r>
      <w:r>
        <w:rPr>
          <w:noProof/>
        </w:rPr>
        <w:tab/>
      </w:r>
      <w:r>
        <w:rPr>
          <w:noProof/>
        </w:rPr>
        <w:fldChar w:fldCharType="begin"/>
      </w:r>
      <w:r>
        <w:rPr>
          <w:noProof/>
        </w:rPr>
        <w:instrText xml:space="preserve"> PAGEREF _Toc154072902 \h </w:instrText>
      </w:r>
      <w:r>
        <w:rPr>
          <w:noProof/>
        </w:rPr>
      </w:r>
      <w:r>
        <w:rPr>
          <w:noProof/>
        </w:rPr>
        <w:fldChar w:fldCharType="separate"/>
      </w:r>
      <w:r>
        <w:rPr>
          <w:noProof/>
        </w:rPr>
        <w:t>14</w:t>
      </w:r>
      <w:r>
        <w:rPr>
          <w:noProof/>
        </w:rPr>
        <w:fldChar w:fldCharType="end"/>
      </w:r>
    </w:p>
    <w:p w14:paraId="5755ACE9" w14:textId="5AB8717A" w:rsidR="00073E0A" w:rsidRDefault="00073E0A">
      <w:pPr>
        <w:pStyle w:val="TM2"/>
        <w:rPr>
          <w:rFonts w:asciiTheme="minorHAnsi" w:eastAsiaTheme="minorEastAsia" w:hAnsiTheme="minorHAnsi" w:cstheme="minorBidi"/>
          <w:noProof/>
          <w:sz w:val="22"/>
          <w:szCs w:val="22"/>
          <w:lang w:eastAsia="fr-CA"/>
        </w:rPr>
      </w:pPr>
      <w:r>
        <w:rPr>
          <w:noProof/>
        </w:rPr>
        <w:t>Gestion particulière</w:t>
      </w:r>
      <w:r>
        <w:rPr>
          <w:noProof/>
        </w:rPr>
        <w:tab/>
      </w:r>
      <w:r>
        <w:rPr>
          <w:noProof/>
        </w:rPr>
        <w:fldChar w:fldCharType="begin"/>
      </w:r>
      <w:r>
        <w:rPr>
          <w:noProof/>
        </w:rPr>
        <w:instrText xml:space="preserve"> PAGEREF _Toc154072903 \h </w:instrText>
      </w:r>
      <w:r>
        <w:rPr>
          <w:noProof/>
        </w:rPr>
      </w:r>
      <w:r>
        <w:rPr>
          <w:noProof/>
        </w:rPr>
        <w:fldChar w:fldCharType="separate"/>
      </w:r>
      <w:r>
        <w:rPr>
          <w:noProof/>
        </w:rPr>
        <w:t>14</w:t>
      </w:r>
      <w:r>
        <w:rPr>
          <w:noProof/>
        </w:rPr>
        <w:fldChar w:fldCharType="end"/>
      </w:r>
    </w:p>
    <w:p w14:paraId="0CD74DC0" w14:textId="6B492CEA" w:rsidR="00073E0A" w:rsidRDefault="00073E0A">
      <w:pPr>
        <w:pStyle w:val="TM2"/>
        <w:rPr>
          <w:rFonts w:asciiTheme="minorHAnsi" w:eastAsiaTheme="minorEastAsia" w:hAnsiTheme="minorHAnsi" w:cstheme="minorBidi"/>
          <w:noProof/>
          <w:sz w:val="22"/>
          <w:szCs w:val="22"/>
          <w:lang w:eastAsia="fr-CA"/>
        </w:rPr>
      </w:pPr>
      <w:r>
        <w:rPr>
          <w:noProof/>
        </w:rPr>
        <w:t>Exclusions</w:t>
      </w:r>
      <w:r>
        <w:rPr>
          <w:noProof/>
        </w:rPr>
        <w:tab/>
      </w:r>
      <w:r>
        <w:rPr>
          <w:noProof/>
        </w:rPr>
        <w:fldChar w:fldCharType="begin"/>
      </w:r>
      <w:r>
        <w:rPr>
          <w:noProof/>
        </w:rPr>
        <w:instrText xml:space="preserve"> PAGEREF _Toc154072904 \h </w:instrText>
      </w:r>
      <w:r>
        <w:rPr>
          <w:noProof/>
        </w:rPr>
      </w:r>
      <w:r>
        <w:rPr>
          <w:noProof/>
        </w:rPr>
        <w:fldChar w:fldCharType="separate"/>
      </w:r>
      <w:r>
        <w:rPr>
          <w:noProof/>
        </w:rPr>
        <w:t>15</w:t>
      </w:r>
      <w:r>
        <w:rPr>
          <w:noProof/>
        </w:rPr>
        <w:fldChar w:fldCharType="end"/>
      </w:r>
    </w:p>
    <w:p w14:paraId="3ACE6FD4" w14:textId="4F32DF1F" w:rsidR="00073E0A" w:rsidRDefault="00073E0A">
      <w:pPr>
        <w:pStyle w:val="TM2"/>
        <w:rPr>
          <w:rFonts w:asciiTheme="minorHAnsi" w:eastAsiaTheme="minorEastAsia" w:hAnsiTheme="minorHAnsi" w:cstheme="minorBidi"/>
          <w:noProof/>
          <w:sz w:val="22"/>
          <w:szCs w:val="22"/>
          <w:lang w:eastAsia="fr-CA"/>
        </w:rPr>
      </w:pPr>
      <w:r>
        <w:rPr>
          <w:noProof/>
        </w:rPr>
        <w:t>Demande d’action collective (stade du fond)</w:t>
      </w:r>
      <w:r>
        <w:rPr>
          <w:noProof/>
        </w:rPr>
        <w:tab/>
      </w:r>
      <w:r>
        <w:rPr>
          <w:noProof/>
        </w:rPr>
        <w:fldChar w:fldCharType="begin"/>
      </w:r>
      <w:r>
        <w:rPr>
          <w:noProof/>
        </w:rPr>
        <w:instrText xml:space="preserve"> PAGEREF _Toc154072905 \h </w:instrText>
      </w:r>
      <w:r>
        <w:rPr>
          <w:noProof/>
        </w:rPr>
      </w:r>
      <w:r>
        <w:rPr>
          <w:noProof/>
        </w:rPr>
        <w:fldChar w:fldCharType="separate"/>
      </w:r>
      <w:r>
        <w:rPr>
          <w:noProof/>
        </w:rPr>
        <w:t>15</w:t>
      </w:r>
      <w:r>
        <w:rPr>
          <w:noProof/>
        </w:rPr>
        <w:fldChar w:fldCharType="end"/>
      </w:r>
    </w:p>
    <w:p w14:paraId="1CA4F0E2" w14:textId="220B896A" w:rsidR="00073E0A" w:rsidRDefault="00073E0A">
      <w:pPr>
        <w:pStyle w:val="TM2"/>
        <w:rPr>
          <w:rFonts w:asciiTheme="minorHAnsi" w:eastAsiaTheme="minorEastAsia" w:hAnsiTheme="minorHAnsi" w:cstheme="minorBidi"/>
          <w:noProof/>
          <w:sz w:val="22"/>
          <w:szCs w:val="22"/>
          <w:lang w:eastAsia="fr-CA"/>
        </w:rPr>
      </w:pPr>
      <w:r>
        <w:rPr>
          <w:noProof/>
        </w:rPr>
        <w:t>Registre central des actions collectives</w:t>
      </w:r>
      <w:r>
        <w:rPr>
          <w:noProof/>
        </w:rPr>
        <w:tab/>
      </w:r>
      <w:r>
        <w:rPr>
          <w:noProof/>
        </w:rPr>
        <w:fldChar w:fldCharType="begin"/>
      </w:r>
      <w:r>
        <w:rPr>
          <w:noProof/>
        </w:rPr>
        <w:instrText xml:space="preserve"> PAGEREF _Toc154072906 \h </w:instrText>
      </w:r>
      <w:r>
        <w:rPr>
          <w:noProof/>
        </w:rPr>
      </w:r>
      <w:r>
        <w:rPr>
          <w:noProof/>
        </w:rPr>
        <w:fldChar w:fldCharType="separate"/>
      </w:r>
      <w:r>
        <w:rPr>
          <w:noProof/>
        </w:rPr>
        <w:t>16</w:t>
      </w:r>
      <w:r>
        <w:rPr>
          <w:noProof/>
        </w:rPr>
        <w:fldChar w:fldCharType="end"/>
      </w:r>
    </w:p>
    <w:p w14:paraId="7EB9D1E8" w14:textId="6F5F97C3" w:rsidR="00073E0A" w:rsidRDefault="00073E0A">
      <w:pPr>
        <w:pStyle w:val="TM2"/>
        <w:rPr>
          <w:rFonts w:asciiTheme="minorHAnsi" w:eastAsiaTheme="minorEastAsia" w:hAnsiTheme="minorHAnsi" w:cstheme="minorBidi"/>
          <w:noProof/>
          <w:sz w:val="22"/>
          <w:szCs w:val="22"/>
          <w:lang w:eastAsia="fr-CA"/>
        </w:rPr>
      </w:pPr>
      <w:r>
        <w:rPr>
          <w:noProof/>
        </w:rPr>
        <w:t>Protocole judiciaire canadien de gestion des actions collectives multijuridictionnelles et de production des avis d’action collective (2018)</w:t>
      </w:r>
      <w:r>
        <w:rPr>
          <w:noProof/>
        </w:rPr>
        <w:tab/>
      </w:r>
      <w:r>
        <w:rPr>
          <w:noProof/>
        </w:rPr>
        <w:fldChar w:fldCharType="begin"/>
      </w:r>
      <w:r>
        <w:rPr>
          <w:noProof/>
        </w:rPr>
        <w:instrText xml:space="preserve"> PAGEREF _Toc154072907 \h </w:instrText>
      </w:r>
      <w:r>
        <w:rPr>
          <w:noProof/>
        </w:rPr>
      </w:r>
      <w:r>
        <w:rPr>
          <w:noProof/>
        </w:rPr>
        <w:fldChar w:fldCharType="separate"/>
      </w:r>
      <w:r>
        <w:rPr>
          <w:noProof/>
        </w:rPr>
        <w:t>16</w:t>
      </w:r>
      <w:r>
        <w:rPr>
          <w:noProof/>
        </w:rPr>
        <w:fldChar w:fldCharType="end"/>
      </w:r>
    </w:p>
    <w:p w14:paraId="39B6C03F" w14:textId="66AFD667" w:rsidR="00073E0A" w:rsidRDefault="00073E0A">
      <w:pPr>
        <w:pStyle w:val="TM2"/>
        <w:rPr>
          <w:rFonts w:asciiTheme="minorHAnsi" w:eastAsiaTheme="minorEastAsia" w:hAnsiTheme="minorHAnsi" w:cstheme="minorBidi"/>
          <w:noProof/>
          <w:sz w:val="22"/>
          <w:szCs w:val="22"/>
          <w:lang w:eastAsia="fr-CA"/>
        </w:rPr>
      </w:pPr>
      <w:r>
        <w:rPr>
          <w:noProof/>
        </w:rPr>
        <w:t>Communications avec le tribunal</w:t>
      </w:r>
      <w:r>
        <w:rPr>
          <w:noProof/>
        </w:rPr>
        <w:tab/>
      </w:r>
      <w:r>
        <w:rPr>
          <w:noProof/>
        </w:rPr>
        <w:fldChar w:fldCharType="begin"/>
      </w:r>
      <w:r>
        <w:rPr>
          <w:noProof/>
        </w:rPr>
        <w:instrText xml:space="preserve"> PAGEREF _Toc154072908 \h </w:instrText>
      </w:r>
      <w:r>
        <w:rPr>
          <w:noProof/>
        </w:rPr>
      </w:r>
      <w:r>
        <w:rPr>
          <w:noProof/>
        </w:rPr>
        <w:fldChar w:fldCharType="separate"/>
      </w:r>
      <w:r>
        <w:rPr>
          <w:noProof/>
        </w:rPr>
        <w:t>16</w:t>
      </w:r>
      <w:r>
        <w:rPr>
          <w:noProof/>
        </w:rPr>
        <w:fldChar w:fldCharType="end"/>
      </w:r>
    </w:p>
    <w:p w14:paraId="32F9FA3E" w14:textId="4B653AD4" w:rsidR="00073E0A" w:rsidRDefault="00073E0A">
      <w:pPr>
        <w:pStyle w:val="TM2"/>
        <w:rPr>
          <w:rFonts w:asciiTheme="minorHAnsi" w:eastAsiaTheme="minorEastAsia" w:hAnsiTheme="minorHAnsi" w:cstheme="minorBidi"/>
          <w:noProof/>
          <w:sz w:val="22"/>
          <w:szCs w:val="22"/>
          <w:lang w:eastAsia="fr-CA"/>
        </w:rPr>
      </w:pPr>
      <w:r>
        <w:rPr>
          <w:noProof/>
        </w:rPr>
        <w:t>Règlement hors cour</w:t>
      </w:r>
      <w:r>
        <w:rPr>
          <w:noProof/>
        </w:rPr>
        <w:tab/>
      </w:r>
      <w:r>
        <w:rPr>
          <w:noProof/>
        </w:rPr>
        <w:fldChar w:fldCharType="begin"/>
      </w:r>
      <w:r>
        <w:rPr>
          <w:noProof/>
        </w:rPr>
        <w:instrText xml:space="preserve"> PAGEREF _Toc154072909 \h </w:instrText>
      </w:r>
      <w:r>
        <w:rPr>
          <w:noProof/>
        </w:rPr>
      </w:r>
      <w:r>
        <w:rPr>
          <w:noProof/>
        </w:rPr>
        <w:fldChar w:fldCharType="separate"/>
      </w:r>
      <w:r>
        <w:rPr>
          <w:noProof/>
        </w:rPr>
        <w:t>17</w:t>
      </w:r>
      <w:r>
        <w:rPr>
          <w:noProof/>
        </w:rPr>
        <w:fldChar w:fldCharType="end"/>
      </w:r>
    </w:p>
    <w:p w14:paraId="3B01EFB2" w14:textId="1104ACD2" w:rsidR="00073E0A" w:rsidRDefault="00073E0A">
      <w:pPr>
        <w:pStyle w:val="TM1"/>
        <w:tabs>
          <w:tab w:val="right" w:leader="dot" w:pos="8590"/>
        </w:tabs>
        <w:rPr>
          <w:rFonts w:asciiTheme="minorHAnsi" w:eastAsiaTheme="minorEastAsia" w:hAnsiTheme="minorHAnsi" w:cstheme="minorBidi"/>
          <w:b w:val="0"/>
          <w:bCs w:val="0"/>
          <w:caps w:val="0"/>
          <w:noProof/>
          <w:sz w:val="22"/>
          <w:szCs w:val="22"/>
          <w:lang w:eastAsia="fr-CA"/>
        </w:rPr>
      </w:pPr>
      <w:r>
        <w:rPr>
          <w:noProof/>
        </w:rPr>
        <w:t>DIRECTIVES PROPRES AUX DISTRICTS</w:t>
      </w:r>
      <w:r>
        <w:rPr>
          <w:noProof/>
        </w:rPr>
        <w:tab/>
      </w:r>
      <w:r>
        <w:rPr>
          <w:noProof/>
        </w:rPr>
        <w:fldChar w:fldCharType="begin"/>
      </w:r>
      <w:r>
        <w:rPr>
          <w:noProof/>
        </w:rPr>
        <w:instrText xml:space="preserve"> PAGEREF _Toc154072910 \h </w:instrText>
      </w:r>
      <w:r>
        <w:rPr>
          <w:noProof/>
        </w:rPr>
      </w:r>
      <w:r>
        <w:rPr>
          <w:noProof/>
        </w:rPr>
        <w:fldChar w:fldCharType="separate"/>
      </w:r>
      <w:r>
        <w:rPr>
          <w:noProof/>
        </w:rPr>
        <w:t>18</w:t>
      </w:r>
      <w:r>
        <w:rPr>
          <w:noProof/>
        </w:rPr>
        <w:fldChar w:fldCharType="end"/>
      </w:r>
    </w:p>
    <w:p w14:paraId="54554AF7" w14:textId="4F7E55CA" w:rsidR="00073E0A" w:rsidRDefault="00073E0A">
      <w:pPr>
        <w:pStyle w:val="TM1"/>
        <w:tabs>
          <w:tab w:val="right" w:leader="dot" w:pos="8590"/>
        </w:tabs>
        <w:rPr>
          <w:rFonts w:asciiTheme="minorHAnsi" w:eastAsiaTheme="minorEastAsia" w:hAnsiTheme="minorHAnsi" w:cstheme="minorBidi"/>
          <w:b w:val="0"/>
          <w:bCs w:val="0"/>
          <w:caps w:val="0"/>
          <w:noProof/>
          <w:sz w:val="22"/>
          <w:szCs w:val="22"/>
          <w:lang w:eastAsia="fr-CA"/>
        </w:rPr>
      </w:pPr>
      <w:r>
        <w:rPr>
          <w:noProof/>
        </w:rPr>
        <w:t>LISTES COMMUNES DE JURISPRUDENCE</w:t>
      </w:r>
      <w:r>
        <w:rPr>
          <w:noProof/>
        </w:rPr>
        <w:tab/>
      </w:r>
      <w:r>
        <w:rPr>
          <w:noProof/>
        </w:rPr>
        <w:fldChar w:fldCharType="begin"/>
      </w:r>
      <w:r>
        <w:rPr>
          <w:noProof/>
        </w:rPr>
        <w:instrText xml:space="preserve"> PAGEREF _Toc154072911 \h </w:instrText>
      </w:r>
      <w:r>
        <w:rPr>
          <w:noProof/>
        </w:rPr>
      </w:r>
      <w:r>
        <w:rPr>
          <w:noProof/>
        </w:rPr>
        <w:fldChar w:fldCharType="separate"/>
      </w:r>
      <w:r>
        <w:rPr>
          <w:noProof/>
        </w:rPr>
        <w:t>20</w:t>
      </w:r>
      <w:r>
        <w:rPr>
          <w:noProof/>
        </w:rPr>
        <w:fldChar w:fldCharType="end"/>
      </w:r>
    </w:p>
    <w:p w14:paraId="6729D49F" w14:textId="10C3BD2D" w:rsidR="00073E0A" w:rsidRDefault="00073E0A">
      <w:pPr>
        <w:pStyle w:val="TM2"/>
        <w:rPr>
          <w:rFonts w:asciiTheme="minorHAnsi" w:eastAsiaTheme="minorEastAsia" w:hAnsiTheme="minorHAnsi" w:cstheme="minorBidi"/>
          <w:noProof/>
          <w:sz w:val="22"/>
          <w:szCs w:val="22"/>
          <w:lang w:eastAsia="fr-CA"/>
        </w:rPr>
      </w:pPr>
      <w:r>
        <w:rPr>
          <w:noProof/>
        </w:rPr>
        <w:t>En matière de contrôle judiciaire</w:t>
      </w:r>
      <w:r>
        <w:rPr>
          <w:noProof/>
        </w:rPr>
        <w:tab/>
      </w:r>
      <w:r>
        <w:rPr>
          <w:noProof/>
        </w:rPr>
        <w:fldChar w:fldCharType="begin"/>
      </w:r>
      <w:r>
        <w:rPr>
          <w:noProof/>
        </w:rPr>
        <w:instrText xml:space="preserve"> PAGEREF _Toc154072912 \h </w:instrText>
      </w:r>
      <w:r>
        <w:rPr>
          <w:noProof/>
        </w:rPr>
      </w:r>
      <w:r>
        <w:rPr>
          <w:noProof/>
        </w:rPr>
        <w:fldChar w:fldCharType="separate"/>
      </w:r>
      <w:r>
        <w:rPr>
          <w:noProof/>
        </w:rPr>
        <w:t>20</w:t>
      </w:r>
      <w:r>
        <w:rPr>
          <w:noProof/>
        </w:rPr>
        <w:fldChar w:fldCharType="end"/>
      </w:r>
    </w:p>
    <w:p w14:paraId="4ACED15F" w14:textId="085AB73F" w:rsidR="00073E0A" w:rsidRDefault="00073E0A">
      <w:pPr>
        <w:pStyle w:val="TM2"/>
        <w:rPr>
          <w:rFonts w:asciiTheme="minorHAnsi" w:eastAsiaTheme="minorEastAsia" w:hAnsiTheme="minorHAnsi" w:cstheme="minorBidi"/>
          <w:noProof/>
          <w:sz w:val="22"/>
          <w:szCs w:val="22"/>
          <w:lang w:eastAsia="fr-CA"/>
        </w:rPr>
      </w:pPr>
      <w:r>
        <w:rPr>
          <w:noProof/>
        </w:rPr>
        <w:t>En matière commerciale, faillite et de restructuration</w:t>
      </w:r>
      <w:r>
        <w:rPr>
          <w:noProof/>
        </w:rPr>
        <w:tab/>
      </w:r>
      <w:r>
        <w:rPr>
          <w:noProof/>
        </w:rPr>
        <w:fldChar w:fldCharType="begin"/>
      </w:r>
      <w:r>
        <w:rPr>
          <w:noProof/>
        </w:rPr>
        <w:instrText xml:space="preserve"> PAGEREF _Toc154072913 \h </w:instrText>
      </w:r>
      <w:r>
        <w:rPr>
          <w:noProof/>
        </w:rPr>
      </w:r>
      <w:r>
        <w:rPr>
          <w:noProof/>
        </w:rPr>
        <w:fldChar w:fldCharType="separate"/>
      </w:r>
      <w:r>
        <w:rPr>
          <w:noProof/>
        </w:rPr>
        <w:t>22</w:t>
      </w:r>
      <w:r>
        <w:rPr>
          <w:noProof/>
        </w:rPr>
        <w:fldChar w:fldCharType="end"/>
      </w:r>
    </w:p>
    <w:p w14:paraId="7B42FBC8" w14:textId="68A98348" w:rsidR="00073E0A" w:rsidRDefault="00073E0A">
      <w:pPr>
        <w:pStyle w:val="TM2"/>
        <w:rPr>
          <w:rFonts w:asciiTheme="minorHAnsi" w:eastAsiaTheme="minorEastAsia" w:hAnsiTheme="minorHAnsi" w:cstheme="minorBidi"/>
          <w:noProof/>
          <w:sz w:val="22"/>
          <w:szCs w:val="22"/>
          <w:lang w:eastAsia="fr-CA"/>
        </w:rPr>
      </w:pPr>
      <w:r>
        <w:rPr>
          <w:noProof/>
        </w:rPr>
        <w:t>En matière d’oppression</w:t>
      </w:r>
      <w:r>
        <w:rPr>
          <w:noProof/>
        </w:rPr>
        <w:tab/>
      </w:r>
      <w:r>
        <w:rPr>
          <w:noProof/>
        </w:rPr>
        <w:fldChar w:fldCharType="begin"/>
      </w:r>
      <w:r>
        <w:rPr>
          <w:noProof/>
        </w:rPr>
        <w:instrText xml:space="preserve"> PAGEREF _Toc154072914 \h </w:instrText>
      </w:r>
      <w:r>
        <w:rPr>
          <w:noProof/>
        </w:rPr>
      </w:r>
      <w:r>
        <w:rPr>
          <w:noProof/>
        </w:rPr>
        <w:fldChar w:fldCharType="separate"/>
      </w:r>
      <w:r>
        <w:rPr>
          <w:noProof/>
        </w:rPr>
        <w:t>23</w:t>
      </w:r>
      <w:r>
        <w:rPr>
          <w:noProof/>
        </w:rPr>
        <w:fldChar w:fldCharType="end"/>
      </w:r>
    </w:p>
    <w:p w14:paraId="53C2126E" w14:textId="5BEFB000" w:rsidR="00073E0A" w:rsidRDefault="00073E0A">
      <w:pPr>
        <w:pStyle w:val="TM2"/>
        <w:rPr>
          <w:rFonts w:asciiTheme="minorHAnsi" w:eastAsiaTheme="minorEastAsia" w:hAnsiTheme="minorHAnsi" w:cstheme="minorBidi"/>
          <w:noProof/>
          <w:sz w:val="22"/>
          <w:szCs w:val="22"/>
          <w:lang w:eastAsia="fr-CA"/>
        </w:rPr>
      </w:pPr>
      <w:r>
        <w:rPr>
          <w:noProof/>
        </w:rPr>
        <w:t>En matière d’actions collectives</w:t>
      </w:r>
      <w:r>
        <w:rPr>
          <w:noProof/>
        </w:rPr>
        <w:tab/>
      </w:r>
      <w:r>
        <w:rPr>
          <w:noProof/>
        </w:rPr>
        <w:fldChar w:fldCharType="begin"/>
      </w:r>
      <w:r>
        <w:rPr>
          <w:noProof/>
        </w:rPr>
        <w:instrText xml:space="preserve"> PAGEREF _Toc154072915 \h </w:instrText>
      </w:r>
      <w:r>
        <w:rPr>
          <w:noProof/>
        </w:rPr>
      </w:r>
      <w:r>
        <w:rPr>
          <w:noProof/>
        </w:rPr>
        <w:fldChar w:fldCharType="separate"/>
      </w:r>
      <w:r>
        <w:rPr>
          <w:noProof/>
        </w:rPr>
        <w:t>24</w:t>
      </w:r>
      <w:r>
        <w:rPr>
          <w:noProof/>
        </w:rPr>
        <w:fldChar w:fldCharType="end"/>
      </w:r>
    </w:p>
    <w:p w14:paraId="5749D9A8" w14:textId="27AEA22F" w:rsidR="00073E0A" w:rsidRDefault="00073E0A">
      <w:pPr>
        <w:pStyle w:val="TM1"/>
        <w:tabs>
          <w:tab w:val="right" w:leader="dot" w:pos="8590"/>
        </w:tabs>
        <w:rPr>
          <w:rFonts w:asciiTheme="minorHAnsi" w:eastAsiaTheme="minorEastAsia" w:hAnsiTheme="minorHAnsi" w:cstheme="minorBidi"/>
          <w:b w:val="0"/>
          <w:bCs w:val="0"/>
          <w:caps w:val="0"/>
          <w:noProof/>
          <w:sz w:val="22"/>
          <w:szCs w:val="22"/>
          <w:lang w:eastAsia="fr-CA"/>
        </w:rPr>
      </w:pPr>
      <w:r>
        <w:rPr>
          <w:noProof/>
        </w:rPr>
        <w:t>LISTE DES ANNEXES</w:t>
      </w:r>
      <w:r>
        <w:rPr>
          <w:noProof/>
        </w:rPr>
        <w:tab/>
      </w:r>
      <w:r>
        <w:rPr>
          <w:noProof/>
        </w:rPr>
        <w:fldChar w:fldCharType="begin"/>
      </w:r>
      <w:r>
        <w:rPr>
          <w:noProof/>
        </w:rPr>
        <w:instrText xml:space="preserve"> PAGEREF _Toc154072916 \h </w:instrText>
      </w:r>
      <w:r>
        <w:rPr>
          <w:noProof/>
        </w:rPr>
      </w:r>
      <w:r>
        <w:rPr>
          <w:noProof/>
        </w:rPr>
        <w:fldChar w:fldCharType="separate"/>
      </w:r>
      <w:r>
        <w:rPr>
          <w:noProof/>
        </w:rPr>
        <w:t>26</w:t>
      </w:r>
      <w:r>
        <w:rPr>
          <w:noProof/>
        </w:rPr>
        <w:fldChar w:fldCharType="end"/>
      </w:r>
    </w:p>
    <w:p w14:paraId="378DA2FF" w14:textId="472FD7C0" w:rsidR="009F141E" w:rsidRDefault="00B76C76" w:rsidP="00DF6CCA">
      <w:pPr>
        <w:pStyle w:val="PardfautA"/>
        <w:tabs>
          <w:tab w:val="right" w:leader="dot" w:pos="8590"/>
        </w:tabs>
        <w:spacing w:before="60" w:after="60"/>
        <w:outlineLvl w:val="9"/>
        <w:rPr>
          <w:rStyle w:val="Aucun"/>
          <w:lang w:val="fr-CA"/>
        </w:rPr>
      </w:pPr>
      <w:r>
        <w:rPr>
          <w:rStyle w:val="Aucun"/>
          <w:rFonts w:ascii="Arial" w:eastAsiaTheme="minorHAnsi" w:hAnsi="Arial" w:cs="Arial"/>
          <w:b/>
          <w:bCs/>
          <w:caps/>
          <w:color w:val="auto"/>
          <w:bdr w:val="none" w:sz="0" w:space="0" w:color="auto"/>
          <w:lang w:val="fr-CA" w:eastAsia="en-US"/>
        </w:rPr>
        <w:fldChar w:fldCharType="end"/>
      </w:r>
    </w:p>
    <w:p w14:paraId="4FB2E395" w14:textId="77777777" w:rsidR="009F141E" w:rsidRDefault="009F141E" w:rsidP="00ED5E66">
      <w:pPr>
        <w:pStyle w:val="Harmonisation-titre1"/>
        <w:rPr>
          <w:rStyle w:val="Aucun"/>
          <w:lang w:val="fr-CA"/>
        </w:rPr>
        <w:sectPr w:rsidR="009F141E" w:rsidSect="003A5C15">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361" w:left="1843" w:header="709" w:footer="709" w:gutter="0"/>
          <w:cols w:space="708"/>
          <w:docGrid w:linePitch="360"/>
        </w:sectPr>
      </w:pPr>
    </w:p>
    <w:p w14:paraId="1CD1A7E5" w14:textId="77777777" w:rsidR="002E4D0D" w:rsidRPr="00892F10" w:rsidRDefault="00ED5E66" w:rsidP="00892F10">
      <w:pPr>
        <w:pStyle w:val="Harmonisation-titre1"/>
        <w:rPr>
          <w:rStyle w:val="Style2Car"/>
          <w:b/>
        </w:rPr>
      </w:pPr>
      <w:bookmarkStart w:id="14" w:name="_Toc88053894"/>
      <w:bookmarkStart w:id="15" w:name="_Toc154072877"/>
      <w:r w:rsidRPr="00892F10">
        <w:rPr>
          <w:rStyle w:val="Aucun"/>
          <w:lang w:val="fr-CA"/>
        </w:rPr>
        <w:lastRenderedPageBreak/>
        <w:t>DIRECTIVES GÉNÉRALES</w:t>
      </w:r>
      <w:bookmarkEnd w:id="2"/>
      <w:bookmarkEnd w:id="3"/>
      <w:bookmarkEnd w:id="4"/>
      <w:bookmarkEnd w:id="5"/>
      <w:bookmarkEnd w:id="6"/>
      <w:bookmarkEnd w:id="7"/>
      <w:bookmarkEnd w:id="8"/>
      <w:bookmarkEnd w:id="9"/>
      <w:bookmarkEnd w:id="10"/>
      <w:bookmarkEnd w:id="11"/>
      <w:bookmarkEnd w:id="12"/>
      <w:bookmarkEnd w:id="14"/>
      <w:bookmarkEnd w:id="15"/>
    </w:p>
    <w:p w14:paraId="3222AAB9" w14:textId="77777777" w:rsidR="00ED5E66" w:rsidRPr="006921BC" w:rsidRDefault="00ED5E66" w:rsidP="00073E0A">
      <w:pPr>
        <w:pStyle w:val="Harmonisation-titre2"/>
      </w:pPr>
      <w:bookmarkStart w:id="16" w:name="_Toc75783430"/>
      <w:bookmarkStart w:id="17" w:name="_Toc87943881"/>
      <w:bookmarkStart w:id="18" w:name="_Toc88053895"/>
      <w:bookmarkStart w:id="19" w:name="_Toc154072878"/>
      <w:r w:rsidRPr="006921BC">
        <w:t xml:space="preserve">Objet et champ </w:t>
      </w:r>
      <w:r w:rsidRPr="00892F10">
        <w:t>d’application</w:t>
      </w:r>
      <w:bookmarkEnd w:id="16"/>
      <w:bookmarkEnd w:id="17"/>
      <w:bookmarkEnd w:id="18"/>
      <w:bookmarkEnd w:id="19"/>
    </w:p>
    <w:p w14:paraId="76FC4D53" w14:textId="0360B26C" w:rsidR="00ED5E66" w:rsidRPr="005977BA" w:rsidRDefault="002C0132" w:rsidP="005977BA">
      <w:pPr>
        <w:pStyle w:val="Harmonisation-paragraphe"/>
      </w:pPr>
      <w:r w:rsidRPr="002C0132">
        <w:rPr>
          <w:rStyle w:val="Aucun"/>
          <w:lang w:val="fr-CA"/>
        </w:rPr>
        <w:t>Les présentes directives sont adoptées en vertu de l’article 63</w:t>
      </w:r>
      <w:r w:rsidR="004C0645">
        <w:rPr>
          <w:rStyle w:val="Aucun"/>
          <w:lang w:val="fr-CA"/>
        </w:rPr>
        <w:t xml:space="preserve"> du </w:t>
      </w:r>
      <w:hyperlink r:id="rId15" w:history="1">
        <w:r w:rsidR="00D02BDD" w:rsidRPr="003B6941">
          <w:rPr>
            <w:rStyle w:val="Lienhypertexte"/>
            <w:i/>
          </w:rPr>
          <w:t>Code de procédure civile</w:t>
        </w:r>
      </w:hyperlink>
      <w:r w:rsidR="004D7BBE">
        <w:rPr>
          <w:rStyle w:val="Aucun"/>
          <w:lang w:val="fr-CA"/>
        </w:rPr>
        <w:t xml:space="preserve"> (</w:t>
      </w:r>
      <w:r w:rsidR="004D7BBE" w:rsidRPr="00232971">
        <w:rPr>
          <w:rStyle w:val="Aucun"/>
          <w:lang w:val="fr-CA"/>
        </w:rPr>
        <w:t>C.p.c.)</w:t>
      </w:r>
      <w:r w:rsidRPr="00232971">
        <w:rPr>
          <w:rStyle w:val="Aucun"/>
          <w:lang w:val="fr-CA"/>
        </w:rPr>
        <w:t>.</w:t>
      </w:r>
    </w:p>
    <w:p w14:paraId="482F6C5A" w14:textId="77777777" w:rsidR="00DA60EF" w:rsidRDefault="000B26A5" w:rsidP="005977BA">
      <w:pPr>
        <w:pStyle w:val="Harmonisation-paragraphe"/>
        <w:rPr>
          <w:rStyle w:val="Aucun"/>
          <w:lang w:val="fr-CA"/>
        </w:rPr>
      </w:pPr>
      <w:bookmarkStart w:id="20" w:name="_Toc5"/>
      <w:r w:rsidRPr="000B26A5">
        <w:rPr>
          <w:rStyle w:val="Aucun"/>
          <w:lang w:val="fr-CA"/>
        </w:rPr>
        <w:t>Ces directives s’appliquent à toutes les instances en matière civile</w:t>
      </w:r>
      <w:r w:rsidR="00756669">
        <w:rPr>
          <w:rStyle w:val="Aucun"/>
          <w:lang w:val="fr-CA"/>
        </w:rPr>
        <w:t>, commerciale</w:t>
      </w:r>
      <w:r w:rsidRPr="000B26A5">
        <w:rPr>
          <w:rStyle w:val="Aucun"/>
          <w:lang w:val="fr-CA"/>
        </w:rPr>
        <w:t xml:space="preserve"> et familiale </w:t>
      </w:r>
      <w:r>
        <w:rPr>
          <w:rStyle w:val="Aucun"/>
          <w:lang w:val="fr-CA"/>
        </w:rPr>
        <w:t>des districts de la division de Montréal</w:t>
      </w:r>
      <w:r w:rsidR="00F44949">
        <w:rPr>
          <w:rStyle w:val="Aucun"/>
          <w:lang w:val="fr-CA"/>
        </w:rPr>
        <w:t>,</w:t>
      </w:r>
      <w:r w:rsidRPr="000B26A5">
        <w:rPr>
          <w:rStyle w:val="Aucun"/>
          <w:lang w:val="fr-CA"/>
        </w:rPr>
        <w:t xml:space="preserve"> dans le respect des principes directeurs édictés par le</w:t>
      </w:r>
      <w:r w:rsidR="004D7BBE">
        <w:rPr>
          <w:rStyle w:val="Aucun"/>
          <w:lang w:val="fr-CA"/>
        </w:rPr>
        <w:t xml:space="preserve"> C.p.c</w:t>
      </w:r>
      <w:r w:rsidRPr="000B26A5">
        <w:rPr>
          <w:rStyle w:val="Aucun"/>
          <w:lang w:val="fr-CA"/>
        </w:rPr>
        <w:t>.</w:t>
      </w:r>
      <w:bookmarkEnd w:id="20"/>
    </w:p>
    <w:p w14:paraId="5E5C94A1" w14:textId="77777777" w:rsidR="009435D6" w:rsidRDefault="009435D6" w:rsidP="00073E0A">
      <w:pPr>
        <w:pStyle w:val="Harmonisation-titre2"/>
      </w:pPr>
      <w:bookmarkStart w:id="21" w:name="_Toc88053896"/>
      <w:bookmarkStart w:id="22" w:name="_Toc154072879"/>
      <w:r>
        <w:t>Protocole de l’instance</w:t>
      </w:r>
      <w:bookmarkEnd w:id="21"/>
      <w:bookmarkEnd w:id="22"/>
    </w:p>
    <w:p w14:paraId="20BEDFD3" w14:textId="2DF14195" w:rsidR="009E3EC2" w:rsidRPr="002E1B29" w:rsidRDefault="009E3EC2" w:rsidP="005977BA">
      <w:pPr>
        <w:pStyle w:val="Harmonisation-paragraphe"/>
        <w:rPr>
          <w:rStyle w:val="Aucun"/>
          <w:lang w:val="fr-CA"/>
        </w:rPr>
      </w:pPr>
      <w:r>
        <w:rPr>
          <w:rStyle w:val="Aucun"/>
          <w:lang w:val="fr-CA"/>
        </w:rPr>
        <w:t xml:space="preserve">Les parties doivent établir un protocole de l’instance pour toute demande introductive d’instance dans une affaire contentieuse, sous réserve des règles </w:t>
      </w:r>
      <w:r w:rsidRPr="00292DCA">
        <w:rPr>
          <w:rStyle w:val="Aucun"/>
          <w:lang w:val="fr-CA"/>
        </w:rPr>
        <w:t xml:space="preserve">particulières </w:t>
      </w:r>
      <w:r w:rsidR="00214437">
        <w:rPr>
          <w:rStyle w:val="Aucun"/>
          <w:lang w:val="fr-CA"/>
        </w:rPr>
        <w:t xml:space="preserve">prévues à </w:t>
      </w:r>
      <w:r w:rsidR="00214437" w:rsidRPr="002E1B29">
        <w:rPr>
          <w:rStyle w:val="Aucun"/>
          <w:lang w:val="fr-CA"/>
        </w:rPr>
        <w:t>l’a</w:t>
      </w:r>
      <w:r w:rsidR="002E1B29" w:rsidRPr="002E1B29">
        <w:rPr>
          <w:rStyle w:val="Aucun"/>
          <w:lang w:val="fr-CA"/>
        </w:rPr>
        <w:t>rticle</w:t>
      </w:r>
      <w:r w:rsidR="008D5D86">
        <w:rPr>
          <w:rStyle w:val="Aucun"/>
          <w:lang w:val="fr-CA"/>
        </w:rPr>
        <w:t xml:space="preserve"> </w:t>
      </w:r>
      <w:r w:rsidRPr="002E1B29">
        <w:rPr>
          <w:rStyle w:val="Aucun"/>
          <w:lang w:val="fr-CA"/>
        </w:rPr>
        <w:t>141</w:t>
      </w:r>
      <w:r w:rsidR="00A43B9B">
        <w:rPr>
          <w:rStyle w:val="Aucun"/>
          <w:lang w:val="fr-CA"/>
        </w:rPr>
        <w:t xml:space="preserve"> al. 2</w:t>
      </w:r>
      <w:r w:rsidR="009D1A99" w:rsidRPr="002E1B29">
        <w:rPr>
          <w:rStyle w:val="Aucun"/>
          <w:lang w:val="fr-CA"/>
        </w:rPr>
        <w:t> </w:t>
      </w:r>
      <w:r w:rsidRPr="002E1B29">
        <w:rPr>
          <w:rStyle w:val="Aucun"/>
          <w:lang w:val="fr-CA"/>
        </w:rPr>
        <w:t>C.p.c.</w:t>
      </w:r>
    </w:p>
    <w:p w14:paraId="559D5461" w14:textId="339A4AD4" w:rsidR="006A647E" w:rsidRDefault="006A647E" w:rsidP="005977BA">
      <w:pPr>
        <w:pStyle w:val="Harmonisation-paragraphe"/>
        <w:rPr>
          <w:rStyle w:val="Aucun"/>
          <w:lang w:val="fr-CA"/>
        </w:rPr>
      </w:pPr>
      <w:r>
        <w:rPr>
          <w:rStyle w:val="Aucun"/>
          <w:lang w:val="fr-CA"/>
        </w:rPr>
        <w:t>Des indicateurs de tri sont créés en regard de l’article 150 C.p.c.</w:t>
      </w:r>
      <w:r w:rsidR="008B4418">
        <w:rPr>
          <w:rStyle w:val="Aucun"/>
          <w:lang w:val="fr-CA"/>
        </w:rPr>
        <w:t>,</w:t>
      </w:r>
      <w:r>
        <w:rPr>
          <w:rStyle w:val="Aucun"/>
          <w:lang w:val="fr-CA"/>
        </w:rPr>
        <w:t xml:space="preserve"> dans le but d’identifier les affaires qui doivent faire l’objet d’un examen par le tribunal pour les fins de la gestion de l’instance. Ces indicateurs </w:t>
      </w:r>
      <w:r w:rsidR="005420C3">
        <w:rPr>
          <w:rStyle w:val="Aucun"/>
          <w:lang w:val="fr-CA"/>
        </w:rPr>
        <w:t xml:space="preserve">se trouvent à </w:t>
      </w:r>
      <w:r w:rsidR="005420C3" w:rsidRPr="001F04EA">
        <w:rPr>
          <w:rStyle w:val="Aucun"/>
          <w:lang w:val="fr-CA"/>
        </w:rPr>
        <w:t>l’</w:t>
      </w:r>
      <w:hyperlink r:id="rId16" w:history="1">
        <w:r w:rsidR="005420C3" w:rsidRPr="005D3804">
          <w:rPr>
            <w:rStyle w:val="Lienhypertexte"/>
          </w:rPr>
          <w:t xml:space="preserve">annexe </w:t>
        </w:r>
        <w:r w:rsidR="005D3804" w:rsidRPr="005D3804">
          <w:rPr>
            <w:rStyle w:val="Lienhypertexte"/>
          </w:rPr>
          <w:t xml:space="preserve">Division </w:t>
        </w:r>
        <w:r w:rsidR="004053B2" w:rsidRPr="005D3804">
          <w:rPr>
            <w:rStyle w:val="Lienhypertexte"/>
          </w:rPr>
          <w:t>1</w:t>
        </w:r>
      </w:hyperlink>
      <w:r w:rsidR="004053B2" w:rsidRPr="001F04EA">
        <w:rPr>
          <w:rStyle w:val="Aucun"/>
          <w:lang w:val="fr-CA"/>
        </w:rPr>
        <w:t>.</w:t>
      </w:r>
    </w:p>
    <w:p w14:paraId="0FBAE5F5" w14:textId="26E85A14" w:rsidR="007A3B70" w:rsidRPr="001F04EA" w:rsidRDefault="007A3B70" w:rsidP="005977BA">
      <w:pPr>
        <w:pStyle w:val="Harmonisation-paragraphe"/>
        <w:rPr>
          <w:rStyle w:val="Aucun"/>
          <w:lang w:val="fr-CA"/>
        </w:rPr>
      </w:pPr>
      <w:r w:rsidRPr="001F04EA">
        <w:rPr>
          <w:rStyle w:val="Aucun"/>
          <w:lang w:val="fr-CA"/>
        </w:rPr>
        <w:t>Les parties doivent utiliser les formulaires du protocole de l’instance pour la division de Montréal (</w:t>
      </w:r>
      <w:hyperlink r:id="rId17" w:history="1">
        <w:r w:rsidR="004802DC" w:rsidRPr="005D3804">
          <w:rPr>
            <w:rStyle w:val="Lienhypertexte"/>
          </w:rPr>
          <w:t>annexe</w:t>
        </w:r>
        <w:r w:rsidR="005D3804" w:rsidRPr="005D3804">
          <w:rPr>
            <w:rStyle w:val="Lienhypertexte"/>
          </w:rPr>
          <w:t xml:space="preserve"> Division</w:t>
        </w:r>
        <w:r w:rsidR="004802DC" w:rsidRPr="005D3804">
          <w:rPr>
            <w:rStyle w:val="Lienhypertexte"/>
          </w:rPr>
          <w:t xml:space="preserve"> 2</w:t>
        </w:r>
      </w:hyperlink>
      <w:r w:rsidR="004053B2" w:rsidRPr="001F04EA">
        <w:rPr>
          <w:rStyle w:val="Aucun"/>
          <w:lang w:val="fr-CA"/>
        </w:rPr>
        <w:t xml:space="preserve"> </w:t>
      </w:r>
      <w:r w:rsidRPr="001F04EA">
        <w:rPr>
          <w:rStyle w:val="Aucun"/>
          <w:lang w:val="fr-CA"/>
        </w:rPr>
        <w:t xml:space="preserve">en matière civile et </w:t>
      </w:r>
      <w:hyperlink r:id="rId18" w:history="1">
        <w:r w:rsidR="004802DC" w:rsidRPr="005D3804">
          <w:rPr>
            <w:rStyle w:val="Lienhypertexte"/>
          </w:rPr>
          <w:t>annexe</w:t>
        </w:r>
        <w:r w:rsidR="005D3804" w:rsidRPr="005D3804">
          <w:rPr>
            <w:rStyle w:val="Lienhypertexte"/>
          </w:rPr>
          <w:t xml:space="preserve"> Division</w:t>
        </w:r>
        <w:r w:rsidR="004802DC" w:rsidRPr="005D3804">
          <w:rPr>
            <w:rStyle w:val="Lienhypertexte"/>
          </w:rPr>
          <w:t xml:space="preserve"> 3</w:t>
        </w:r>
      </w:hyperlink>
      <w:r w:rsidR="004053B2" w:rsidRPr="001F04EA">
        <w:rPr>
          <w:rStyle w:val="Aucun"/>
          <w:lang w:val="fr-CA"/>
        </w:rPr>
        <w:t xml:space="preserve"> </w:t>
      </w:r>
      <w:r w:rsidRPr="001F04EA">
        <w:rPr>
          <w:rStyle w:val="Aucun"/>
          <w:lang w:val="fr-CA"/>
        </w:rPr>
        <w:t xml:space="preserve">en matière familiale). </w:t>
      </w:r>
    </w:p>
    <w:p w14:paraId="10149DE1" w14:textId="77777777" w:rsidR="007A3B70" w:rsidRPr="00334066" w:rsidRDefault="00232971" w:rsidP="005977BA">
      <w:pPr>
        <w:pStyle w:val="Harmonisation-paragraphe"/>
        <w:rPr>
          <w:rStyle w:val="Aucun"/>
          <w:lang w:val="fr-CA"/>
        </w:rPr>
      </w:pPr>
      <w:r>
        <w:rPr>
          <w:rStyle w:val="Aucun"/>
          <w:lang w:val="fr-CA"/>
        </w:rPr>
        <w:t>U</w:t>
      </w:r>
      <w:r w:rsidR="007A3B70">
        <w:rPr>
          <w:rStyle w:val="Aucun"/>
          <w:lang w:val="fr-CA"/>
        </w:rPr>
        <w:t xml:space="preserve">ne proposition de protocole </w:t>
      </w:r>
      <w:r>
        <w:rPr>
          <w:rStyle w:val="Aucun"/>
          <w:lang w:val="fr-CA"/>
        </w:rPr>
        <w:t xml:space="preserve">ou un protocole </w:t>
      </w:r>
      <w:r w:rsidR="007A3B70">
        <w:rPr>
          <w:rStyle w:val="Aucun"/>
          <w:lang w:val="fr-CA"/>
        </w:rPr>
        <w:t xml:space="preserve">de l’instance non conforme à ces formulaires </w:t>
      </w:r>
      <w:r w:rsidR="001C34C0">
        <w:rPr>
          <w:rStyle w:val="Aucun"/>
          <w:lang w:val="fr-CA"/>
        </w:rPr>
        <w:t xml:space="preserve">doit </w:t>
      </w:r>
      <w:r w:rsidR="007A3B70">
        <w:rPr>
          <w:rStyle w:val="Aucun"/>
          <w:lang w:val="fr-CA"/>
        </w:rPr>
        <w:t>être refusé</w:t>
      </w:r>
      <w:r w:rsidR="001C34C0">
        <w:rPr>
          <w:rStyle w:val="Aucun"/>
          <w:lang w:val="fr-CA"/>
        </w:rPr>
        <w:t xml:space="preserve"> par le greffier</w:t>
      </w:r>
      <w:r w:rsidR="007A3B70">
        <w:rPr>
          <w:rStyle w:val="Aucun"/>
          <w:lang w:val="fr-CA"/>
        </w:rPr>
        <w:t>.</w:t>
      </w:r>
    </w:p>
    <w:p w14:paraId="01F98B39" w14:textId="6786A954" w:rsidR="009D1A99" w:rsidRDefault="009D1A99" w:rsidP="005977BA">
      <w:pPr>
        <w:pStyle w:val="Harmonisation-paragraphe"/>
        <w:rPr>
          <w:rStyle w:val="Aucun"/>
          <w:lang w:val="fr-CA"/>
        </w:rPr>
      </w:pPr>
      <w:r>
        <w:rPr>
          <w:rStyle w:val="Aucun"/>
          <w:lang w:val="fr-CA"/>
        </w:rPr>
        <w:t xml:space="preserve">Lorsqu’il s’agit d’un premier protocole, la </w:t>
      </w:r>
      <w:r w:rsidR="003F52E8">
        <w:rPr>
          <w:rStyle w:val="Aucun"/>
          <w:lang w:val="fr-CA"/>
        </w:rPr>
        <w:t xml:space="preserve">page de présentation </w:t>
      </w:r>
      <w:r>
        <w:rPr>
          <w:rStyle w:val="Aucun"/>
          <w:lang w:val="fr-CA"/>
        </w:rPr>
        <w:t>du formulaire doit obligatoirement être remplie. Les informations s’y trouvant servent à identifier les dossiers qui pourraient faire l’ob</w:t>
      </w:r>
      <w:r w:rsidR="002F0473">
        <w:rPr>
          <w:rStyle w:val="Aucun"/>
          <w:lang w:val="fr-CA"/>
        </w:rPr>
        <w:t>jet d’une conférence de gestion.</w:t>
      </w:r>
    </w:p>
    <w:p w14:paraId="5D5EABF3" w14:textId="04F2094A" w:rsidR="00890D9D" w:rsidRDefault="00505795" w:rsidP="005977BA">
      <w:pPr>
        <w:pStyle w:val="Harmonisation-paragraphe"/>
        <w:rPr>
          <w:rStyle w:val="Aucun"/>
          <w:lang w:val="fr-CA"/>
        </w:rPr>
      </w:pPr>
      <w:r w:rsidRPr="00505795">
        <w:rPr>
          <w:rStyle w:val="Aucun"/>
          <w:lang w:val="fr-CA"/>
        </w:rPr>
        <w:t xml:space="preserve">Pour obtenir l’autorisation de déposer une défense écrite, </w:t>
      </w:r>
      <w:r w:rsidR="005A5B19">
        <w:rPr>
          <w:rStyle w:val="Aucun"/>
          <w:lang w:val="fr-CA"/>
        </w:rPr>
        <w:t>la partie défenderesse</w:t>
      </w:r>
      <w:r w:rsidRPr="00505795">
        <w:rPr>
          <w:rStyle w:val="Aucun"/>
          <w:lang w:val="fr-CA"/>
        </w:rPr>
        <w:t xml:space="preserve"> doit énoncer les motifs démontrant que l’affaire présente un degré élevé de complexité ou que des circonstances spéciales le justifient (art.</w:t>
      </w:r>
      <w:r w:rsidR="00DC33FD">
        <w:rPr>
          <w:rStyle w:val="Aucun"/>
          <w:lang w:val="fr-CA"/>
        </w:rPr>
        <w:t> </w:t>
      </w:r>
      <w:r w:rsidRPr="00505795">
        <w:rPr>
          <w:rStyle w:val="Aucun"/>
          <w:lang w:val="fr-CA"/>
        </w:rPr>
        <w:t>171</w:t>
      </w:r>
      <w:r w:rsidR="00DC33FD">
        <w:rPr>
          <w:rStyle w:val="Aucun"/>
          <w:lang w:val="fr-CA"/>
        </w:rPr>
        <w:t> </w:t>
      </w:r>
      <w:r w:rsidRPr="00505795">
        <w:rPr>
          <w:rStyle w:val="Aucun"/>
          <w:lang w:val="fr-CA"/>
        </w:rPr>
        <w:t>C.p.c.). La défense écrite doit respecter les exigences des articles 99 et 102 C.p.c.</w:t>
      </w:r>
    </w:p>
    <w:p w14:paraId="13F7637F" w14:textId="77777777" w:rsidR="00381718" w:rsidRDefault="00381718" w:rsidP="005977BA">
      <w:pPr>
        <w:pStyle w:val="Harmonisation-paragraphe"/>
        <w:rPr>
          <w:rStyle w:val="Aucun"/>
          <w:lang w:val="fr-CA"/>
        </w:rPr>
      </w:pPr>
      <w:r>
        <w:rPr>
          <w:rStyle w:val="Aucun"/>
          <w:lang w:val="fr-CA"/>
        </w:rPr>
        <w:t xml:space="preserve">Certaines demandes </w:t>
      </w:r>
      <w:r w:rsidR="002B6FB6">
        <w:rPr>
          <w:rStyle w:val="Aucun"/>
          <w:lang w:val="fr-CA"/>
        </w:rPr>
        <w:t xml:space="preserve">formulées </w:t>
      </w:r>
      <w:r>
        <w:rPr>
          <w:rStyle w:val="Aucun"/>
          <w:lang w:val="fr-CA"/>
        </w:rPr>
        <w:t>conjointement au protocole par toutes les parties peuvent faire l’objet d’un jugement sans audience.</w:t>
      </w:r>
    </w:p>
    <w:p w14:paraId="14B0BDEE" w14:textId="77777777" w:rsidR="00381718" w:rsidRDefault="001C34C0" w:rsidP="005977BA">
      <w:pPr>
        <w:pStyle w:val="Harmonisation-paragraphe"/>
        <w:rPr>
          <w:rStyle w:val="Aucun"/>
          <w:lang w:val="fr-CA"/>
        </w:rPr>
      </w:pPr>
      <w:r>
        <w:rPr>
          <w:rStyle w:val="Aucun"/>
          <w:lang w:val="fr-CA"/>
        </w:rPr>
        <w:t xml:space="preserve">Aucun délai d’inscription </w:t>
      </w:r>
      <w:r w:rsidR="005E5742">
        <w:rPr>
          <w:rStyle w:val="Aucun"/>
          <w:lang w:val="fr-CA"/>
        </w:rPr>
        <w:t xml:space="preserve">pour instruction et jugement </w:t>
      </w:r>
      <w:r>
        <w:rPr>
          <w:rStyle w:val="Aucun"/>
          <w:lang w:val="fr-CA"/>
        </w:rPr>
        <w:t>ne peut être prolongé du simple consentement des parties.</w:t>
      </w:r>
    </w:p>
    <w:p w14:paraId="5B730F2D" w14:textId="545B010C" w:rsidR="004E26B3" w:rsidRDefault="004E26B3" w:rsidP="005977BA">
      <w:pPr>
        <w:pStyle w:val="Harmonisation-paragraphe"/>
        <w:rPr>
          <w:rStyle w:val="Aucun"/>
          <w:lang w:val="fr-CA"/>
        </w:rPr>
      </w:pPr>
      <w:r w:rsidRPr="00686BCE">
        <w:rPr>
          <w:rStyle w:val="Aucun"/>
          <w:lang w:val="fr-CA"/>
        </w:rPr>
        <w:t xml:space="preserve">L’interrogatoire préalable ne peut être fait que s’il a été prévu au protocole de l’instance (art. 221 C.p.c.). Les parties ont l’obligation de préciser au </w:t>
      </w:r>
      <w:r w:rsidRPr="00686BCE">
        <w:rPr>
          <w:rStyle w:val="Aucun"/>
          <w:lang w:val="fr-CA"/>
        </w:rPr>
        <w:lastRenderedPageBreak/>
        <w:t xml:space="preserve">protocole la date, l’heure et </w:t>
      </w:r>
      <w:r w:rsidR="0030685F">
        <w:rPr>
          <w:rStyle w:val="Aucun"/>
          <w:lang w:val="fr-CA"/>
        </w:rPr>
        <w:t>les modalités</w:t>
      </w:r>
      <w:r w:rsidRPr="00686BCE">
        <w:rPr>
          <w:rStyle w:val="Aucun"/>
          <w:lang w:val="fr-CA"/>
        </w:rPr>
        <w:t xml:space="preserve"> de chaque interrogatoire préalable. Les parties ne peuvent indiquer une date butoir pour sa tenue</w:t>
      </w:r>
      <w:r w:rsidRPr="002D3C22">
        <w:rPr>
          <w:rStyle w:val="Aucun"/>
          <w:lang w:val="fr-CA"/>
        </w:rPr>
        <w:t>.</w:t>
      </w:r>
    </w:p>
    <w:p w14:paraId="681A28A2" w14:textId="77777777" w:rsidR="00AE205E" w:rsidRPr="00036134" w:rsidRDefault="00AE205E" w:rsidP="00073E0A">
      <w:pPr>
        <w:pStyle w:val="Harmonisation-titre2"/>
        <w:rPr>
          <w:rStyle w:val="Aucun"/>
          <w:lang w:val="fr-CA"/>
        </w:rPr>
      </w:pPr>
      <w:bookmarkStart w:id="23" w:name="_Toc88053897"/>
      <w:bookmarkStart w:id="24" w:name="_Toc154072880"/>
      <w:r w:rsidRPr="00036134">
        <w:rPr>
          <w:rStyle w:val="Aucun"/>
          <w:lang w:val="fr-CA"/>
        </w:rPr>
        <w:t>Conférence de gestion</w:t>
      </w:r>
      <w:bookmarkEnd w:id="23"/>
      <w:bookmarkEnd w:id="24"/>
    </w:p>
    <w:p w14:paraId="4E95AF49" w14:textId="77777777" w:rsidR="0029080B" w:rsidRDefault="0029080B" w:rsidP="005977BA">
      <w:pPr>
        <w:pStyle w:val="Harmonisation-paragraphe"/>
      </w:pPr>
      <w:r>
        <w:t xml:space="preserve">L’avocat d’une partie qui participe à une conférence de gestion doit avoir une véritable connaissance du dossier et être notamment en mesure de faire des admissions, de souscrire à des engagements et de prendre toute autre décision relativement au déroulement de l’instance. La partie défaillante s’expose à une condamnation </w:t>
      </w:r>
      <w:r w:rsidR="00FF6920">
        <w:t xml:space="preserve">à titre de </w:t>
      </w:r>
      <w:r w:rsidR="00380A5F">
        <w:t xml:space="preserve">frais de justice </w:t>
      </w:r>
      <w:r>
        <w:t>en vertu de l’article 342 C.p.c.</w:t>
      </w:r>
    </w:p>
    <w:p w14:paraId="5F725497" w14:textId="77777777" w:rsidR="00036134" w:rsidRDefault="004732C1" w:rsidP="00073E0A">
      <w:pPr>
        <w:pStyle w:val="Harmonisation-titre2"/>
      </w:pPr>
      <w:bookmarkStart w:id="25" w:name="_Toc154072881"/>
      <w:r>
        <w:t>Gestion particulière</w:t>
      </w:r>
      <w:bookmarkEnd w:id="25"/>
    </w:p>
    <w:p w14:paraId="4024133A" w14:textId="77777777" w:rsidR="00DD26F9" w:rsidRDefault="00DD26F9" w:rsidP="005977BA">
      <w:pPr>
        <w:pStyle w:val="Harmonisation-paragraphe"/>
      </w:pPr>
      <w:r>
        <w:t>Toute demande de gestion particulière de l’instance (art. 157 C.p.c.) est soumise par avis de gestion.</w:t>
      </w:r>
    </w:p>
    <w:p w14:paraId="430260E7" w14:textId="77777777" w:rsidR="00DD26F9" w:rsidRDefault="00DD26F9" w:rsidP="005977BA">
      <w:pPr>
        <w:pStyle w:val="Harmonisation-paragraphe"/>
      </w:pPr>
      <w:r>
        <w:t>La demande doit alléguer les motifs relatifs à la nature, au caractère ou à la complexité de l’affaire qui justifient une gestion particulière.</w:t>
      </w:r>
    </w:p>
    <w:p w14:paraId="4D4C46AC" w14:textId="44CAA623" w:rsidR="00DC33FD" w:rsidRDefault="0076364F" w:rsidP="005977BA">
      <w:pPr>
        <w:pStyle w:val="Harmonisation-paragraphe"/>
      </w:pPr>
      <w:r w:rsidRPr="00457A89">
        <w:t xml:space="preserve">S’il apparaît au juge, sur la foi du dossier et compte tenu de son déroulement probable, que l’instance pourrait justifier une gestion particulière eu égard aux principes directeurs du </w:t>
      </w:r>
      <w:hyperlink r:id="rId19" w:history="1">
        <w:r w:rsidR="00D02BDD" w:rsidRPr="003B6941">
          <w:rPr>
            <w:rStyle w:val="Lienhypertexte"/>
            <w:i/>
          </w:rPr>
          <w:t>Code de procédure civile</w:t>
        </w:r>
      </w:hyperlink>
      <w:r w:rsidRPr="00457A89">
        <w:t xml:space="preserve">, il réfère le dossier </w:t>
      </w:r>
      <w:r w:rsidR="004B27B3">
        <w:t>au juge coordonnateur</w:t>
      </w:r>
      <w:r w:rsidR="00756669">
        <w:t xml:space="preserve"> pour qu’il soit statué sur la demande</w:t>
      </w:r>
      <w:r w:rsidRPr="00457A89">
        <w:t>. Au cas contraire, la demande est rejetée.</w:t>
      </w:r>
      <w:r w:rsidR="00BE12BE">
        <w:t xml:space="preserve"> </w:t>
      </w:r>
    </w:p>
    <w:p w14:paraId="56468E24" w14:textId="3CF57808" w:rsidR="004B27B3" w:rsidRPr="005977BA" w:rsidRDefault="004B27B3" w:rsidP="00562DE2">
      <w:pPr>
        <w:pStyle w:val="paragraphenumrot"/>
        <w:keepNext/>
        <w:keepLines/>
        <w:widowControl/>
        <w:numPr>
          <w:ilvl w:val="0"/>
          <w:numId w:val="0"/>
        </w:numPr>
        <w:ind w:left="709"/>
        <w:rPr>
          <w:rStyle w:val="ModifCar"/>
        </w:rPr>
      </w:pPr>
      <w:r w:rsidRPr="004B27B3">
        <w:rPr>
          <w:rFonts w:eastAsia="Arial Unicode MS"/>
          <w:b/>
          <w:bCs/>
          <w:i/>
          <w:iCs/>
          <w:sz w:val="20"/>
          <w:szCs w:val="20"/>
        </w:rPr>
        <w:t>Modification : 1</w:t>
      </w:r>
      <w:r w:rsidRPr="004B27B3">
        <w:rPr>
          <w:rFonts w:eastAsia="Arial Unicode MS"/>
          <w:b/>
          <w:bCs/>
          <w:i/>
          <w:iCs/>
          <w:sz w:val="20"/>
          <w:szCs w:val="20"/>
          <w:vertAlign w:val="superscript"/>
        </w:rPr>
        <w:t>er</w:t>
      </w:r>
      <w:r w:rsidRPr="004B27B3">
        <w:rPr>
          <w:rFonts w:eastAsia="Arial Unicode MS"/>
          <w:b/>
          <w:bCs/>
          <w:i/>
          <w:iCs/>
          <w:sz w:val="20"/>
          <w:szCs w:val="20"/>
        </w:rPr>
        <w:t xml:space="preserve"> </w:t>
      </w:r>
      <w:r>
        <w:rPr>
          <w:rFonts w:eastAsia="Arial Unicode MS"/>
          <w:b/>
          <w:bCs/>
          <w:i/>
          <w:iCs/>
          <w:sz w:val="20"/>
          <w:szCs w:val="20"/>
        </w:rPr>
        <w:t>janvier 2024</w:t>
      </w:r>
    </w:p>
    <w:p w14:paraId="2E662770" w14:textId="76944049" w:rsidR="00FE1AF5" w:rsidRDefault="005027C7" w:rsidP="005977BA">
      <w:pPr>
        <w:pStyle w:val="Harmonisation-paragraphe"/>
      </w:pPr>
      <w:r>
        <w:t>Les juges coordonnateurs de districts ont été désignés par la juge en chef pour statuer sur ces demandes.</w:t>
      </w:r>
    </w:p>
    <w:p w14:paraId="53E16982" w14:textId="0F065AFF" w:rsidR="001624B1" w:rsidRPr="005977BA" w:rsidRDefault="001624B1" w:rsidP="005977BA">
      <w:pPr>
        <w:pStyle w:val="paragraphenumrot"/>
        <w:keepNext/>
        <w:keepLines/>
        <w:widowControl/>
        <w:numPr>
          <w:ilvl w:val="0"/>
          <w:numId w:val="0"/>
        </w:numPr>
        <w:ind w:left="709"/>
        <w:rPr>
          <w:rStyle w:val="ModifCar"/>
        </w:rPr>
      </w:pPr>
      <w:r w:rsidRPr="001624B1">
        <w:rPr>
          <w:rFonts w:eastAsia="Arial Unicode MS"/>
          <w:b/>
          <w:bCs/>
          <w:i/>
          <w:iCs/>
          <w:sz w:val="20"/>
          <w:szCs w:val="20"/>
        </w:rPr>
        <w:t>Modification : 1</w:t>
      </w:r>
      <w:r w:rsidR="005977BA" w:rsidRPr="005977BA">
        <w:rPr>
          <w:rFonts w:eastAsia="Arial Unicode MS"/>
          <w:b/>
          <w:bCs/>
          <w:i/>
          <w:iCs/>
          <w:sz w:val="20"/>
          <w:szCs w:val="20"/>
          <w:vertAlign w:val="superscript"/>
        </w:rPr>
        <w:t>er</w:t>
      </w:r>
      <w:r w:rsidR="005977BA">
        <w:rPr>
          <w:rFonts w:eastAsia="Arial Unicode MS"/>
          <w:b/>
          <w:bCs/>
          <w:i/>
          <w:iCs/>
          <w:sz w:val="20"/>
          <w:szCs w:val="20"/>
        </w:rPr>
        <w:t xml:space="preserve"> </w:t>
      </w:r>
      <w:r w:rsidRPr="001624B1">
        <w:rPr>
          <w:rFonts w:eastAsia="Arial Unicode MS"/>
          <w:b/>
          <w:bCs/>
          <w:i/>
          <w:iCs/>
          <w:sz w:val="20"/>
          <w:szCs w:val="20"/>
        </w:rPr>
        <w:t>septembre 2023</w:t>
      </w:r>
    </w:p>
    <w:p w14:paraId="2003C9C8" w14:textId="77777777" w:rsidR="00FE1AF5" w:rsidRDefault="00FE1AF5" w:rsidP="00073E0A">
      <w:pPr>
        <w:pStyle w:val="Harmonisation-titre2"/>
      </w:pPr>
      <w:bookmarkStart w:id="26" w:name="_Toc144299442"/>
      <w:bookmarkStart w:id="27" w:name="_Toc154072882"/>
      <w:r>
        <w:t>Cause fixée par préférence</w:t>
      </w:r>
      <w:bookmarkEnd w:id="26"/>
      <w:bookmarkEnd w:id="27"/>
    </w:p>
    <w:p w14:paraId="4C60CC2E" w14:textId="247DD924" w:rsidR="00FE1AF5" w:rsidRDefault="00FE1AF5" w:rsidP="005977BA">
      <w:pPr>
        <w:pStyle w:val="Harmonisation-paragraphe"/>
      </w:pPr>
      <w:r>
        <w:t xml:space="preserve">Toute demande en vue de fixer une cause par préférence est soumise par avis de gestion. </w:t>
      </w:r>
    </w:p>
    <w:p w14:paraId="0B0009F5" w14:textId="222B1FEC" w:rsidR="00E44CBC" w:rsidRDefault="00E44CBC" w:rsidP="00562DE2">
      <w:pPr>
        <w:pStyle w:val="Harmonisation-paragraphe"/>
        <w:numPr>
          <w:ilvl w:val="0"/>
          <w:numId w:val="0"/>
        </w:numPr>
        <w:ind w:left="709"/>
      </w:pPr>
      <w:r w:rsidRPr="001624B1">
        <w:rPr>
          <w:rFonts w:eastAsia="Arial Unicode MS"/>
          <w:b/>
          <w:bCs/>
          <w:i/>
          <w:iCs/>
          <w:sz w:val="20"/>
          <w:szCs w:val="20"/>
        </w:rPr>
        <w:t>Modification : 1</w:t>
      </w:r>
      <w:r w:rsidRPr="005977BA">
        <w:rPr>
          <w:rFonts w:eastAsia="Arial Unicode MS"/>
          <w:b/>
          <w:bCs/>
          <w:i/>
          <w:iCs/>
          <w:sz w:val="20"/>
          <w:szCs w:val="20"/>
          <w:vertAlign w:val="superscript"/>
        </w:rPr>
        <w:t>er</w:t>
      </w:r>
      <w:r w:rsidRPr="001624B1">
        <w:rPr>
          <w:rFonts w:eastAsia="Arial Unicode MS"/>
          <w:b/>
          <w:bCs/>
          <w:i/>
          <w:iCs/>
          <w:sz w:val="20"/>
          <w:szCs w:val="20"/>
        </w:rPr>
        <w:t xml:space="preserve"> septembre 2023</w:t>
      </w:r>
    </w:p>
    <w:p w14:paraId="3885E856" w14:textId="14DF5141" w:rsidR="00FE1AF5" w:rsidRDefault="00FE1AF5" w:rsidP="005977BA">
      <w:pPr>
        <w:pStyle w:val="Harmonisation-paragraphe"/>
      </w:pPr>
      <w:r>
        <w:t>La demande doit alléguer les motifs qui justifient que la cause soit fixée par préférence.</w:t>
      </w:r>
    </w:p>
    <w:p w14:paraId="54A6FFD1" w14:textId="77777777" w:rsidR="00E44CBC" w:rsidRDefault="00E44CBC" w:rsidP="00562DE2">
      <w:pPr>
        <w:pStyle w:val="paragraphenumrot"/>
        <w:numPr>
          <w:ilvl w:val="0"/>
          <w:numId w:val="0"/>
        </w:numPr>
        <w:ind w:left="634"/>
      </w:pPr>
      <w:r w:rsidRPr="00E44CBC">
        <w:rPr>
          <w:rFonts w:eastAsia="Arial Unicode MS"/>
          <w:b/>
          <w:bCs/>
          <w:i/>
          <w:iCs/>
          <w:sz w:val="20"/>
          <w:szCs w:val="20"/>
        </w:rPr>
        <w:t>Modification : 1</w:t>
      </w:r>
      <w:r w:rsidRPr="00E44CBC">
        <w:rPr>
          <w:rFonts w:eastAsia="Arial Unicode MS"/>
          <w:b/>
          <w:bCs/>
          <w:i/>
          <w:iCs/>
          <w:sz w:val="20"/>
          <w:szCs w:val="20"/>
          <w:vertAlign w:val="superscript"/>
        </w:rPr>
        <w:t>er</w:t>
      </w:r>
      <w:r w:rsidRPr="00E44CBC">
        <w:rPr>
          <w:rFonts w:eastAsia="Arial Unicode MS"/>
          <w:b/>
          <w:bCs/>
          <w:i/>
          <w:iCs/>
          <w:sz w:val="20"/>
          <w:szCs w:val="20"/>
        </w:rPr>
        <w:t xml:space="preserve"> septembre 2023</w:t>
      </w:r>
    </w:p>
    <w:p w14:paraId="46DF4077" w14:textId="0489F3B5" w:rsidR="00E44CBC" w:rsidRDefault="00E44CBC" w:rsidP="00E44CBC">
      <w:pPr>
        <w:pStyle w:val="Harmonisation-ajout"/>
        <w:ind w:left="709" w:hanging="709"/>
      </w:pPr>
      <w:r>
        <w:t>18.1</w:t>
      </w:r>
      <w:r>
        <w:tab/>
        <w:t>S'il apparaît au juge que la cause doit être fixée par préférence, il réfère le dossier au juge coordonnateur du district pour qu’il soit statué sur la demande. Au cas contraire, la demande est rejetée.</w:t>
      </w:r>
    </w:p>
    <w:p w14:paraId="3B570DDE" w14:textId="062FF11E" w:rsidR="00E44CBC" w:rsidRDefault="00E44CBC" w:rsidP="00562DE2">
      <w:pPr>
        <w:pStyle w:val="Harmonisation-paragraphe"/>
        <w:numPr>
          <w:ilvl w:val="0"/>
          <w:numId w:val="0"/>
        </w:numPr>
        <w:ind w:left="709"/>
      </w:pPr>
      <w:r w:rsidRPr="001624B1">
        <w:rPr>
          <w:rFonts w:eastAsia="Arial Unicode MS"/>
          <w:b/>
          <w:bCs/>
          <w:i/>
          <w:iCs/>
          <w:sz w:val="20"/>
          <w:szCs w:val="20"/>
        </w:rPr>
        <w:t>Modification : 1</w:t>
      </w:r>
      <w:r w:rsidRPr="005977BA">
        <w:rPr>
          <w:rFonts w:eastAsia="Arial Unicode MS"/>
          <w:b/>
          <w:bCs/>
          <w:i/>
          <w:iCs/>
          <w:sz w:val="20"/>
          <w:szCs w:val="20"/>
          <w:vertAlign w:val="superscript"/>
        </w:rPr>
        <w:t>er</w:t>
      </w:r>
      <w:r w:rsidRPr="001624B1">
        <w:rPr>
          <w:rFonts w:eastAsia="Arial Unicode MS"/>
          <w:b/>
          <w:bCs/>
          <w:i/>
          <w:iCs/>
          <w:sz w:val="20"/>
          <w:szCs w:val="20"/>
        </w:rPr>
        <w:t xml:space="preserve"> </w:t>
      </w:r>
      <w:r>
        <w:rPr>
          <w:rFonts w:eastAsia="Arial Unicode MS"/>
          <w:b/>
          <w:bCs/>
          <w:i/>
          <w:iCs/>
          <w:sz w:val="20"/>
          <w:szCs w:val="20"/>
        </w:rPr>
        <w:t>janvier 2024</w:t>
      </w:r>
    </w:p>
    <w:p w14:paraId="042F0D1A" w14:textId="77777777" w:rsidR="00FE1AF5" w:rsidRDefault="00FE1AF5" w:rsidP="005977BA">
      <w:pPr>
        <w:pStyle w:val="Harmonisation-paragraphe"/>
      </w:pPr>
      <w:r>
        <w:lastRenderedPageBreak/>
        <w:t>Les juges coordonnateurs de districts ont été désignés par la juge en chef pour statuer sur ces demandes (article 27 du</w:t>
      </w:r>
      <w:r w:rsidRPr="00974849">
        <w:t xml:space="preserve"> </w:t>
      </w:r>
      <w:hyperlink r:id="rId20" w:history="1">
        <w:r w:rsidRPr="00873512">
          <w:rPr>
            <w:rStyle w:val="Lienhypertexte"/>
            <w:i/>
            <w:iCs/>
          </w:rPr>
          <w:t>Règlement de la Cour supérieure du Québec en matière civile</w:t>
        </w:r>
      </w:hyperlink>
      <w:r>
        <w:rPr>
          <w:rStyle w:val="Lienhypertexte"/>
          <w:iCs/>
        </w:rPr>
        <w:t>)</w:t>
      </w:r>
      <w:r>
        <w:t>.</w:t>
      </w:r>
    </w:p>
    <w:p w14:paraId="02401CA4" w14:textId="00D28D36" w:rsidR="005027C7" w:rsidRPr="005977BA" w:rsidRDefault="001624B1" w:rsidP="005977BA">
      <w:pPr>
        <w:pStyle w:val="paragraphenumrot"/>
        <w:keepNext/>
        <w:keepLines/>
        <w:widowControl/>
        <w:numPr>
          <w:ilvl w:val="0"/>
          <w:numId w:val="0"/>
        </w:numPr>
        <w:ind w:left="709"/>
        <w:rPr>
          <w:rStyle w:val="ModifCar"/>
        </w:rPr>
      </w:pPr>
      <w:r w:rsidRPr="001624B1">
        <w:rPr>
          <w:rFonts w:eastAsia="Arial Unicode MS"/>
          <w:b/>
          <w:bCs/>
          <w:i/>
          <w:iCs/>
          <w:sz w:val="20"/>
          <w:szCs w:val="20"/>
        </w:rPr>
        <w:t>Modification : 1</w:t>
      </w:r>
      <w:r w:rsidR="005977BA" w:rsidRPr="005977BA">
        <w:rPr>
          <w:rFonts w:eastAsia="Arial Unicode MS"/>
          <w:b/>
          <w:bCs/>
          <w:i/>
          <w:iCs/>
          <w:sz w:val="20"/>
          <w:szCs w:val="20"/>
          <w:vertAlign w:val="superscript"/>
        </w:rPr>
        <w:t>er</w:t>
      </w:r>
      <w:r w:rsidRPr="001624B1">
        <w:rPr>
          <w:rFonts w:eastAsia="Arial Unicode MS"/>
          <w:b/>
          <w:bCs/>
          <w:i/>
          <w:iCs/>
          <w:sz w:val="20"/>
          <w:szCs w:val="20"/>
        </w:rPr>
        <w:t xml:space="preserve"> septembre 2023</w:t>
      </w:r>
    </w:p>
    <w:p w14:paraId="70975F1F" w14:textId="77777777" w:rsidR="00E8671E" w:rsidRDefault="00E8671E" w:rsidP="00073E0A">
      <w:pPr>
        <w:pStyle w:val="Harmonisation-titre2"/>
      </w:pPr>
      <w:bookmarkStart w:id="28" w:name="_Toc154072883"/>
      <w:bookmarkStart w:id="29" w:name="_Toc88053898"/>
      <w:r>
        <w:t>Dépôt des actes de procédure, pièces et autres éléments de preuve</w:t>
      </w:r>
      <w:bookmarkEnd w:id="28"/>
      <w:r>
        <w:t xml:space="preserve"> </w:t>
      </w:r>
    </w:p>
    <w:p w14:paraId="7A291428" w14:textId="77777777" w:rsidR="00E8671E" w:rsidRDefault="00E8671E" w:rsidP="005977BA">
      <w:pPr>
        <w:pStyle w:val="Harmonisation-paragraphe"/>
      </w:pPr>
      <w:r w:rsidRPr="00624D96">
        <w:t xml:space="preserve">Les parties ont l’obligation de produire leurs actes de procédure au greffe et d’acquitter, le cas échéant, les frais </w:t>
      </w:r>
      <w:r w:rsidR="0061482A">
        <w:t xml:space="preserve">et droits de greffe </w:t>
      </w:r>
      <w:r w:rsidRPr="00624D96">
        <w:t>qui y sont associés.</w:t>
      </w:r>
    </w:p>
    <w:p w14:paraId="14F74908" w14:textId="77777777" w:rsidR="00E8671E" w:rsidRPr="00624D96" w:rsidRDefault="00E8671E" w:rsidP="005977BA">
      <w:pPr>
        <w:pStyle w:val="Harmonisation-paragraphe"/>
      </w:pPr>
      <w:r w:rsidRPr="00686BCE">
        <w:t>Les procès-verbaux de notification doivent être insérés immédiatement avant l’endos de tout acte de procédure déposé au greffe.</w:t>
      </w:r>
      <w:r>
        <w:t xml:space="preserve"> </w:t>
      </w:r>
    </w:p>
    <w:p w14:paraId="6DB96D2E" w14:textId="297B6039" w:rsidR="00E8671E" w:rsidRDefault="00E8671E" w:rsidP="005977BA">
      <w:pPr>
        <w:pStyle w:val="Harmonisation-paragraphe"/>
      </w:pPr>
      <w:r w:rsidRPr="00624D96">
        <w:t xml:space="preserve">Les parties peuvent aussi déposer </w:t>
      </w:r>
      <w:r w:rsidR="004D7BBE">
        <w:t>certains</w:t>
      </w:r>
      <w:r w:rsidR="004D7BBE" w:rsidRPr="00624D96">
        <w:t xml:space="preserve"> </w:t>
      </w:r>
      <w:r w:rsidRPr="00624D96">
        <w:t xml:space="preserve">actes de procédure électroniquement au </w:t>
      </w:r>
      <w:r w:rsidR="009C186E">
        <w:t>G</w:t>
      </w:r>
      <w:r w:rsidR="009C186E" w:rsidRPr="00624D96">
        <w:t xml:space="preserve">reffe </w:t>
      </w:r>
      <w:r w:rsidRPr="00624D96">
        <w:t xml:space="preserve">numérique </w:t>
      </w:r>
      <w:r w:rsidR="009C186E">
        <w:t xml:space="preserve">judiciaire </w:t>
      </w:r>
      <w:r w:rsidRPr="00624D96">
        <w:t>du Québec (</w:t>
      </w:r>
      <w:r w:rsidRPr="00624D96">
        <w:rPr>
          <w:b/>
        </w:rPr>
        <w:t>GNJQ</w:t>
      </w:r>
      <w:r w:rsidRPr="00624D96">
        <w:t>)</w:t>
      </w:r>
      <w:r w:rsidR="00173B83">
        <w:t>,</w:t>
      </w:r>
      <w:r w:rsidR="004D7BBE">
        <w:t xml:space="preserve"> en suivant les consignes établies par le ministère de la Justice (</w:t>
      </w:r>
      <w:hyperlink r:id="rId21" w:history="1">
        <w:r w:rsidR="004D7BBE" w:rsidRPr="002E1B29">
          <w:rPr>
            <w:rStyle w:val="Lienhypertexte"/>
          </w:rPr>
          <w:t>lien au site GNJQ</w:t>
        </w:r>
      </w:hyperlink>
      <w:r w:rsidR="004D7BBE">
        <w:t>)</w:t>
      </w:r>
      <w:r w:rsidR="002D3C22">
        <w:t xml:space="preserve"> et en respectant les délais prévus au C.p.c</w:t>
      </w:r>
      <w:r w:rsidR="004D7BBE">
        <w:t>.</w:t>
      </w:r>
    </w:p>
    <w:p w14:paraId="7D9E5D2B" w14:textId="1BD3DABE" w:rsidR="004D7BBE" w:rsidRDefault="00686BCE" w:rsidP="005977BA">
      <w:pPr>
        <w:pStyle w:val="Harmonisation-paragraphe"/>
      </w:pPr>
      <w:r>
        <w:t>Le GNJQ ne peut pas être utilisé pour déposer des éléments de preuve (déclarations sous serment, pièces ou autres documents</w:t>
      </w:r>
      <w:r w:rsidR="00457A89">
        <w:t>)</w:t>
      </w:r>
      <w:r>
        <w:t xml:space="preserve">, sauf </w:t>
      </w:r>
      <w:r w:rsidR="004D7BBE">
        <w:t>certaines exceptions (</w:t>
      </w:r>
      <w:hyperlink r:id="rId22" w:history="1">
        <w:r w:rsidR="004D7BBE" w:rsidRPr="002E1B29">
          <w:rPr>
            <w:rStyle w:val="Lienhypertexte"/>
          </w:rPr>
          <w:t>lien au site GNJQ</w:t>
        </w:r>
      </w:hyperlink>
      <w:r w:rsidR="004D7BBE">
        <w:t>).</w:t>
      </w:r>
    </w:p>
    <w:p w14:paraId="3F692458" w14:textId="77777777" w:rsidR="00686BCE" w:rsidRDefault="00686BCE" w:rsidP="005977BA">
      <w:pPr>
        <w:pStyle w:val="Harmonisation-paragraphe"/>
      </w:pPr>
      <w:r>
        <w:t xml:space="preserve">Le GNJQ ne peut pas être utilisé pour déposer des </w:t>
      </w:r>
      <w:r w:rsidR="00603CFC">
        <w:t>sources</w:t>
      </w:r>
      <w:r w:rsidR="00777AE2">
        <w:t>.</w:t>
      </w:r>
    </w:p>
    <w:p w14:paraId="3FA42932" w14:textId="67BAD8AE" w:rsidR="00D71BFB" w:rsidRDefault="00D71BFB" w:rsidP="005977BA">
      <w:pPr>
        <w:pStyle w:val="Harmonisation-paragraphe"/>
      </w:pPr>
      <w:r>
        <w:t>L’utilisation</w:t>
      </w:r>
      <w:r w:rsidR="00686BCE" w:rsidRPr="00974849">
        <w:t xml:space="preserve"> du </w:t>
      </w:r>
      <w:r>
        <w:t>GNJQ</w:t>
      </w:r>
      <w:r w:rsidR="00686BCE" w:rsidRPr="00974849">
        <w:t xml:space="preserve"> ne dispense pas les parties de déposer les originaux des pièces lorsque le </w:t>
      </w:r>
      <w:r w:rsidR="00CB540C">
        <w:t>C.p.c.</w:t>
      </w:r>
      <w:r w:rsidR="00686BCE" w:rsidRPr="00974849">
        <w:t xml:space="preserve">, le </w:t>
      </w:r>
      <w:hyperlink r:id="rId23" w:history="1">
        <w:r w:rsidR="005F2FB7" w:rsidRPr="00BB10B3">
          <w:rPr>
            <w:rStyle w:val="Lienhypertexte"/>
            <w:i/>
          </w:rPr>
          <w:t>Règlement de la Cour supérieure du Québec en matière civile</w:t>
        </w:r>
      </w:hyperlink>
      <w:r w:rsidR="003B4897">
        <w:rPr>
          <w:i/>
        </w:rPr>
        <w:t xml:space="preserve"> </w:t>
      </w:r>
      <w:bookmarkStart w:id="30" w:name="_Hlk120611423"/>
      <w:r w:rsidR="00686BCE" w:rsidRPr="00974849">
        <w:t xml:space="preserve">ou le </w:t>
      </w:r>
      <w:hyperlink r:id="rId24" w:anchor=":~:text=Dans%20toute%20demande%20portant%20sur,7." w:history="1">
        <w:r w:rsidR="00686BCE" w:rsidRPr="006641BF">
          <w:rPr>
            <w:rStyle w:val="Lienhypertexte"/>
            <w:i/>
            <w:iCs/>
          </w:rPr>
          <w:t xml:space="preserve">Règlement de la Cour supérieure </w:t>
        </w:r>
        <w:r w:rsidR="000E4F1A" w:rsidRPr="006641BF">
          <w:rPr>
            <w:rStyle w:val="Lienhypertexte"/>
            <w:i/>
            <w:iCs/>
          </w:rPr>
          <w:t xml:space="preserve">du Québec </w:t>
        </w:r>
        <w:r w:rsidR="00686BCE" w:rsidRPr="006641BF">
          <w:rPr>
            <w:rStyle w:val="Lienhypertexte"/>
            <w:i/>
            <w:iCs/>
          </w:rPr>
          <w:t>en matière familiale</w:t>
        </w:r>
      </w:hyperlink>
      <w:r w:rsidR="003B4897">
        <w:rPr>
          <w:i/>
          <w:iCs/>
        </w:rPr>
        <w:t xml:space="preserve"> </w:t>
      </w:r>
      <w:r w:rsidR="00686BCE" w:rsidRPr="00974849">
        <w:t xml:space="preserve">exige qu’une </w:t>
      </w:r>
      <w:bookmarkEnd w:id="30"/>
      <w:r w:rsidR="00686BCE" w:rsidRPr="00974849">
        <w:t xml:space="preserve">pièce originale soit déposée. </w:t>
      </w:r>
    </w:p>
    <w:p w14:paraId="17CD4C37" w14:textId="77777777" w:rsidR="00686BCE" w:rsidRDefault="00D71BFB" w:rsidP="005977BA">
      <w:pPr>
        <w:pStyle w:val="Harmonisation-paragraphe"/>
      </w:pPr>
      <w:r>
        <w:t>Le GNJQ</w:t>
      </w:r>
      <w:r w:rsidR="00686BCE" w:rsidRPr="00974849">
        <w:t xml:space="preserve"> ne permet pas le dépôt des documents sous pli cacheté. </w:t>
      </w:r>
      <w:r>
        <w:t>Les</w:t>
      </w:r>
      <w:r w:rsidR="00686BCE" w:rsidRPr="00974849">
        <w:t xml:space="preserve"> documents comportant des éléments d’identification </w:t>
      </w:r>
      <w:r w:rsidR="00DD644C">
        <w:t xml:space="preserve">généralement </w:t>
      </w:r>
      <w:r w:rsidR="00686BCE" w:rsidRPr="00974849">
        <w:t>tenus pour confidentiels doivent être déposés au greffe par la poste ou en personne.</w:t>
      </w:r>
    </w:p>
    <w:p w14:paraId="39F1A6C8" w14:textId="77777777" w:rsidR="001E72B2" w:rsidRDefault="001E72B2" w:rsidP="005977BA">
      <w:pPr>
        <w:pStyle w:val="Harmonisation-paragraphe"/>
      </w:pPr>
      <w:r>
        <w:t>Le dépôt des documents sous pli cacheté s’effectue selon les règles suivantes :</w:t>
      </w:r>
    </w:p>
    <w:p w14:paraId="06982778" w14:textId="77777777" w:rsidR="001E72B2" w:rsidRDefault="001E72B2" w:rsidP="00CA052B">
      <w:pPr>
        <w:pStyle w:val="Harmonisation-tiret"/>
      </w:pPr>
      <w:r>
        <w:t>enveloppe de format lettre (9 X12) ou format légal (9 ½ X 14 ¾);</w:t>
      </w:r>
    </w:p>
    <w:p w14:paraId="162ECDC9" w14:textId="77777777" w:rsidR="001E72B2" w:rsidRDefault="001E72B2" w:rsidP="00CA052B">
      <w:pPr>
        <w:pStyle w:val="Harmonisation-tiret"/>
      </w:pPr>
      <w:r>
        <w:t xml:space="preserve">étiquette d’identification collée sur l’enveloppe et un endos </w:t>
      </w:r>
      <w:r w:rsidR="0061482A">
        <w:t xml:space="preserve">avec les mentions « CONFIDENTIEL » ou « SOUS SCELLÉ » </w:t>
      </w:r>
      <w:r>
        <w:t>mentionnant les informations suivantes en caractères d’imprimerie :</w:t>
      </w:r>
    </w:p>
    <w:p w14:paraId="1C994B6C" w14:textId="77777777" w:rsidR="001E72B2" w:rsidRDefault="001E72B2" w:rsidP="00CA052B">
      <w:pPr>
        <w:pStyle w:val="Harmonisation-i"/>
      </w:pPr>
      <w:r>
        <w:t>numéro de dossier;</w:t>
      </w:r>
    </w:p>
    <w:p w14:paraId="3FEF38F0" w14:textId="77777777" w:rsidR="001E72B2" w:rsidRPr="00CA052B" w:rsidRDefault="001E72B2" w:rsidP="00CA052B">
      <w:pPr>
        <w:pStyle w:val="Harmonisation-i"/>
      </w:pPr>
      <w:r w:rsidRPr="00CA052B">
        <w:t>date de production</w:t>
      </w:r>
      <w:r w:rsidR="0061482A">
        <w:t xml:space="preserve"> (à </w:t>
      </w:r>
      <w:r w:rsidR="00095FB9">
        <w:t>compléter</w:t>
      </w:r>
      <w:r w:rsidR="0061482A">
        <w:t xml:space="preserve"> par le greffe ou greffier)</w:t>
      </w:r>
      <w:r w:rsidRPr="00CA052B">
        <w:t>;</w:t>
      </w:r>
    </w:p>
    <w:p w14:paraId="57682CB2" w14:textId="77777777" w:rsidR="001E72B2" w:rsidRPr="00CA052B" w:rsidRDefault="001E72B2" w:rsidP="00CA052B">
      <w:pPr>
        <w:pStyle w:val="Harmonisation-i"/>
      </w:pPr>
      <w:r w:rsidRPr="00CA052B">
        <w:t>identité du déposant et la partie qu'il représente, le cas échéant;</w:t>
      </w:r>
    </w:p>
    <w:p w14:paraId="0BF66735" w14:textId="77777777" w:rsidR="00FE1AF5" w:rsidRPr="001E72B2" w:rsidRDefault="001E72B2" w:rsidP="00FE1AF5">
      <w:pPr>
        <w:pStyle w:val="Harmonisation-i"/>
      </w:pPr>
      <w:r w:rsidRPr="00CA052B">
        <w:lastRenderedPageBreak/>
        <w:t>numéro</w:t>
      </w:r>
      <w:r>
        <w:t xml:space="preserve"> de la pièce et la nature du document produit.</w:t>
      </w:r>
    </w:p>
    <w:p w14:paraId="06E2102F" w14:textId="2F5BD418" w:rsidR="00FE1AF5" w:rsidRDefault="00FE1AF5" w:rsidP="005977BA">
      <w:pPr>
        <w:pStyle w:val="Harmonisation-paragraphe"/>
        <w:rPr>
          <w:rStyle w:val="Aucun"/>
          <w:lang w:val="fr-CA"/>
        </w:rPr>
      </w:pPr>
      <w:r w:rsidRPr="002F5D77">
        <w:rPr>
          <w:rStyle w:val="Aucun"/>
          <w:lang w:val="fr-CA"/>
        </w:rPr>
        <w:t xml:space="preserve">Dans </w:t>
      </w:r>
      <w:r>
        <w:rPr>
          <w:rStyle w:val="Aucun"/>
          <w:lang w:val="fr-CA"/>
        </w:rPr>
        <w:t>le cadre d’une demande</w:t>
      </w:r>
      <w:r w:rsidRPr="002F5D77">
        <w:rPr>
          <w:rStyle w:val="Aucun"/>
          <w:lang w:val="fr-CA"/>
        </w:rPr>
        <w:t xml:space="preserve"> en homologation d’une entente, d’un projet d’accord ou d’une transaction, les parties peuvent produire une reproduction par copie ou transfert d’information au lieu de l’original. Toutefois, si les informations contenues à la reproduction sont contestées, l’original ou une copie qui légalement en tient lieu doit être produit.</w:t>
      </w:r>
    </w:p>
    <w:p w14:paraId="52879CE1" w14:textId="28800020" w:rsidR="001E72B2" w:rsidRPr="005977BA" w:rsidRDefault="001624B1" w:rsidP="005977BA">
      <w:pPr>
        <w:pStyle w:val="paragraphenumrot"/>
        <w:keepNext/>
        <w:keepLines/>
        <w:widowControl/>
        <w:numPr>
          <w:ilvl w:val="0"/>
          <w:numId w:val="0"/>
        </w:numPr>
        <w:ind w:left="709"/>
        <w:rPr>
          <w:rStyle w:val="ModifCar"/>
        </w:rPr>
      </w:pPr>
      <w:r w:rsidRPr="001624B1">
        <w:rPr>
          <w:rFonts w:eastAsia="Arial Unicode MS"/>
          <w:b/>
          <w:bCs/>
          <w:i/>
          <w:iCs/>
          <w:sz w:val="20"/>
          <w:szCs w:val="20"/>
        </w:rPr>
        <w:t>Modification : 1</w:t>
      </w:r>
      <w:r w:rsidR="005977BA" w:rsidRPr="005977BA">
        <w:rPr>
          <w:rFonts w:eastAsia="Arial Unicode MS"/>
          <w:b/>
          <w:bCs/>
          <w:i/>
          <w:iCs/>
          <w:sz w:val="20"/>
          <w:szCs w:val="20"/>
          <w:vertAlign w:val="superscript"/>
        </w:rPr>
        <w:t>er</w:t>
      </w:r>
      <w:r w:rsidR="005977BA">
        <w:rPr>
          <w:rFonts w:eastAsia="Arial Unicode MS"/>
          <w:b/>
          <w:bCs/>
          <w:i/>
          <w:iCs/>
          <w:sz w:val="20"/>
          <w:szCs w:val="20"/>
        </w:rPr>
        <w:t xml:space="preserve"> </w:t>
      </w:r>
      <w:r w:rsidRPr="001624B1">
        <w:rPr>
          <w:rFonts w:eastAsia="Arial Unicode MS"/>
          <w:b/>
          <w:bCs/>
          <w:i/>
          <w:iCs/>
          <w:sz w:val="20"/>
          <w:szCs w:val="20"/>
        </w:rPr>
        <w:t>septembre 2023</w:t>
      </w:r>
    </w:p>
    <w:p w14:paraId="379A3303" w14:textId="66E3FF7C" w:rsidR="00E8671E" w:rsidRDefault="00E8671E" w:rsidP="005977BA">
      <w:pPr>
        <w:pStyle w:val="Harmonisation-paragraphe"/>
        <w:rPr>
          <w:rStyle w:val="Aucun"/>
          <w:lang w:val="fr-CA"/>
        </w:rPr>
      </w:pPr>
      <w:r w:rsidRPr="00624D96">
        <w:rPr>
          <w:rStyle w:val="Aucun"/>
          <w:lang w:val="fr-CA"/>
        </w:rPr>
        <w:t xml:space="preserve">Les pièces </w:t>
      </w:r>
      <w:r w:rsidR="000D18F9">
        <w:rPr>
          <w:rStyle w:val="Aucun"/>
          <w:lang w:val="fr-CA"/>
        </w:rPr>
        <w:t xml:space="preserve">et les autres éléments de preuve </w:t>
      </w:r>
      <w:r w:rsidRPr="00624D96">
        <w:rPr>
          <w:rStyle w:val="Aucun"/>
          <w:lang w:val="fr-CA"/>
        </w:rPr>
        <w:t xml:space="preserve">doivent être produits au greffe au moins 15 jours avant la date fixée pour l’instruction ou au moins trois jours </w:t>
      </w:r>
      <w:r w:rsidR="00CB540C">
        <w:rPr>
          <w:rStyle w:val="Aucun"/>
          <w:lang w:val="fr-CA"/>
        </w:rPr>
        <w:t xml:space="preserve">ouvrables </w:t>
      </w:r>
      <w:r w:rsidRPr="00624D96">
        <w:rPr>
          <w:rStyle w:val="Aucun"/>
          <w:lang w:val="fr-CA"/>
        </w:rPr>
        <w:t>à l’avance si la date de l’instruction est fixée à moins de 15 jours. Le tribunal peut par ailleurs demander que les pièces et les autres éléments de preuve lui soient re</w:t>
      </w:r>
      <w:r>
        <w:rPr>
          <w:rStyle w:val="Aucun"/>
          <w:lang w:val="fr-CA"/>
        </w:rPr>
        <w:t>mis dans le délai qu’il indique (art. 250 C.p.c.).</w:t>
      </w:r>
    </w:p>
    <w:p w14:paraId="31A3DAAC" w14:textId="46164D6E" w:rsidR="00E8671E" w:rsidRDefault="00E8671E" w:rsidP="005977BA">
      <w:pPr>
        <w:pStyle w:val="Harmonisation-paragraphe"/>
        <w:rPr>
          <w:rStyle w:val="Aucun"/>
          <w:lang w:val="fr-CA"/>
        </w:rPr>
      </w:pPr>
      <w:r w:rsidRPr="00D71BFB">
        <w:rPr>
          <w:rStyle w:val="Aucun"/>
          <w:lang w:val="fr-CA"/>
        </w:rPr>
        <w:t>Les pièces doivent être paginées et, de préférence, reliées</w:t>
      </w:r>
      <w:r w:rsidR="003B4897">
        <w:rPr>
          <w:rStyle w:val="Aucun"/>
          <w:lang w:val="fr-CA"/>
        </w:rPr>
        <w:t xml:space="preserve"> avec des onglets</w:t>
      </w:r>
      <w:r w:rsidRPr="00D71BFB">
        <w:rPr>
          <w:rStyle w:val="Aucun"/>
          <w:lang w:val="fr-CA"/>
        </w:rPr>
        <w:t>. Cependant, elles ne doivent pas être regroupées dans un cartable à anneaux</w:t>
      </w:r>
      <w:r w:rsidR="000106FD">
        <w:rPr>
          <w:rStyle w:val="Aucun"/>
          <w:lang w:val="fr-CA"/>
        </w:rPr>
        <w:t>,</w:t>
      </w:r>
      <w:r w:rsidRPr="00D71BFB">
        <w:rPr>
          <w:rStyle w:val="Aucun"/>
          <w:lang w:val="fr-CA"/>
        </w:rPr>
        <w:t xml:space="preserve"> puisque ce format empêche le classement des dossiers.</w:t>
      </w:r>
      <w:r w:rsidR="00B5642A" w:rsidRPr="00B5642A">
        <w:rPr>
          <w:b/>
        </w:rPr>
        <w:t xml:space="preserve"> </w:t>
      </w:r>
    </w:p>
    <w:p w14:paraId="7608D77E" w14:textId="53CD2691" w:rsidR="00E8671E" w:rsidRDefault="00E8671E" w:rsidP="005977BA">
      <w:pPr>
        <w:pStyle w:val="Harmonisation-paragraphe"/>
      </w:pPr>
      <w:r w:rsidRPr="00B5642A">
        <w:t xml:space="preserve">Afin d’économiser le papier et de mieux gérer la taille des dossiers, les parties sont incitées à imprimer leurs cahiers de pièces, cahiers </w:t>
      </w:r>
      <w:r w:rsidR="00603CFC">
        <w:t>des sources</w:t>
      </w:r>
      <w:r w:rsidRPr="00B5642A">
        <w:t>, rapports d’expertise et tous autres documents autres que les actes de procédure en format recto verso.</w:t>
      </w:r>
      <w:r>
        <w:t xml:space="preserve"> </w:t>
      </w:r>
    </w:p>
    <w:p w14:paraId="4C3FE2E6" w14:textId="77777777" w:rsidR="008738C1" w:rsidRPr="00624D96" w:rsidRDefault="008738C1" w:rsidP="005977BA">
      <w:pPr>
        <w:pStyle w:val="Harmonisation-paragraphe"/>
      </w:pPr>
      <w:r w:rsidRPr="006921BC">
        <w:t xml:space="preserve">Le texte des actes de procédure et des déclarations </w:t>
      </w:r>
      <w:r w:rsidR="0061482A">
        <w:t>sous serment</w:t>
      </w:r>
      <w:r w:rsidR="0061482A" w:rsidRPr="006921BC">
        <w:t xml:space="preserve"> </w:t>
      </w:r>
      <w:r w:rsidRPr="006921BC">
        <w:t>est présenté à interligne simple</w:t>
      </w:r>
      <w:r w:rsidR="00BC446A">
        <w:t xml:space="preserve"> et la police Arial de taille 12 doit être utilisée.</w:t>
      </w:r>
      <w:r w:rsidR="00B412C0">
        <w:t xml:space="preserve"> </w:t>
      </w:r>
      <w:r w:rsidR="00BC446A">
        <w:t xml:space="preserve">Si le </w:t>
      </w:r>
      <w:r w:rsidR="004053B2">
        <w:t xml:space="preserve">texte </w:t>
      </w:r>
      <w:r w:rsidR="00BC446A">
        <w:t xml:space="preserve">est manuscrit, il </w:t>
      </w:r>
      <w:r w:rsidR="004053B2">
        <w:t xml:space="preserve">doit être lisible. </w:t>
      </w:r>
    </w:p>
    <w:p w14:paraId="49F08192" w14:textId="77777777" w:rsidR="006305ED" w:rsidRDefault="006305ED" w:rsidP="00073E0A">
      <w:pPr>
        <w:pStyle w:val="Harmonisation-titre2"/>
      </w:pPr>
      <w:bookmarkStart w:id="31" w:name="_Toc154072884"/>
      <w:r>
        <w:t>Demande</w:t>
      </w:r>
      <w:r w:rsidR="00936FF4">
        <w:t>s</w:t>
      </w:r>
      <w:r>
        <w:t xml:space="preserve"> en cours d’instance</w:t>
      </w:r>
      <w:bookmarkEnd w:id="31"/>
      <w:r>
        <w:t xml:space="preserve"> </w:t>
      </w:r>
      <w:bookmarkEnd w:id="29"/>
    </w:p>
    <w:p w14:paraId="2AA7AD16" w14:textId="4510F5B0" w:rsidR="004B56C0" w:rsidRDefault="004B56C0" w:rsidP="005977BA">
      <w:pPr>
        <w:pStyle w:val="Harmonisation-paragraphe"/>
      </w:pPr>
      <w:r>
        <w:t>S</w:t>
      </w:r>
      <w:r w:rsidRPr="004B56C0">
        <w:t xml:space="preserve">eules sont portées au rôle, les demandes en cours d’instance qui ont été notifiées au moins trois jours </w:t>
      </w:r>
      <w:r w:rsidR="00CB540C">
        <w:t xml:space="preserve">ouvrables </w:t>
      </w:r>
      <w:r w:rsidRPr="004B56C0">
        <w:t>avant la date de la présentation et qui ont été déposées au greffe au moins deux jours ouvrables avant la date prévue pour la présentation (les samedis, dimanches et jours fériés n’étant pas considérés comme des jours ouvrables) - (art.</w:t>
      </w:r>
      <w:r w:rsidR="00E8671E">
        <w:t> </w:t>
      </w:r>
      <w:r w:rsidRPr="004B56C0">
        <w:t>101</w:t>
      </w:r>
      <w:r w:rsidR="00A43B9B">
        <w:t xml:space="preserve"> al. </w:t>
      </w:r>
      <w:r w:rsidRPr="004B56C0">
        <w:t>1 et 107</w:t>
      </w:r>
      <w:r w:rsidR="00A43B9B">
        <w:t xml:space="preserve"> al. </w:t>
      </w:r>
      <w:r w:rsidRPr="004B56C0">
        <w:t>2 C.p.c.).</w:t>
      </w:r>
    </w:p>
    <w:p w14:paraId="7DA7DFCF" w14:textId="77777777" w:rsidR="006C0E65" w:rsidRDefault="006C0E65" w:rsidP="005977BA">
      <w:pPr>
        <w:pStyle w:val="Harmonisation-paragraphe"/>
      </w:pPr>
      <w:r>
        <w:t>Les demandes doivent être accompagnées de la preuve de notification, des pièces et autres documents que la partie invoque.</w:t>
      </w:r>
    </w:p>
    <w:p w14:paraId="2C41F898" w14:textId="77777777" w:rsidR="003E107F" w:rsidRDefault="003E107F" w:rsidP="005977BA">
      <w:pPr>
        <w:pStyle w:val="Harmonisation-paragraphe"/>
      </w:pPr>
      <w:r w:rsidRPr="003E107F">
        <w:t xml:space="preserve">La partie qui s’oppose à une demande en cours d’instance et qui entend </w:t>
      </w:r>
      <w:r w:rsidR="006C0E65">
        <w:t>invoquer</w:t>
      </w:r>
      <w:r w:rsidR="006C0E65" w:rsidRPr="003E107F">
        <w:t xml:space="preserve"> </w:t>
      </w:r>
      <w:r w:rsidRPr="003E107F">
        <w:t xml:space="preserve">des documents (déclarations sous serment, pièces) doit les </w:t>
      </w:r>
      <w:r w:rsidR="005027C7">
        <w:t xml:space="preserve">notifier </w:t>
      </w:r>
      <w:r w:rsidR="003B4897">
        <w:t xml:space="preserve">et les </w:t>
      </w:r>
      <w:r w:rsidRPr="003E107F">
        <w:t>déposer au greffe au plus tard à 12</w:t>
      </w:r>
      <w:r w:rsidR="00E8671E">
        <w:t> </w:t>
      </w:r>
      <w:r w:rsidRPr="003E107F">
        <w:t>h le jour ouvrable qui précède la date de la présentation de la demande</w:t>
      </w:r>
      <w:r w:rsidR="006C0E65">
        <w:t>, laquelle doit apparaître à l’endos du document</w:t>
      </w:r>
      <w:r>
        <w:t>.</w:t>
      </w:r>
      <w:r w:rsidR="006C0E65">
        <w:t xml:space="preserve"> </w:t>
      </w:r>
    </w:p>
    <w:p w14:paraId="79EAA460" w14:textId="77777777" w:rsidR="003E107F" w:rsidRDefault="003E107F" w:rsidP="005977BA">
      <w:pPr>
        <w:pStyle w:val="Harmonisation-paragraphe"/>
      </w:pPr>
      <w:r w:rsidRPr="003E107F">
        <w:lastRenderedPageBreak/>
        <w:t>Les demandes d’ajout au rôle de pratique doivent être autorisées par le greffier spécial ou le juge siégeant en chambre de pratique.</w:t>
      </w:r>
    </w:p>
    <w:p w14:paraId="39B0E9D1" w14:textId="004D5F72" w:rsidR="00756669" w:rsidRPr="003E107F" w:rsidRDefault="00756669" w:rsidP="005977BA">
      <w:pPr>
        <w:pStyle w:val="Harmonisation-paragraphe"/>
      </w:pPr>
      <w:r>
        <w:t xml:space="preserve">Lorsque les avocats ou les parties non représentées déposent un avis de présentation pour une demande qui a déjà été produite au dossier de la </w:t>
      </w:r>
      <w:r w:rsidR="00D94E10">
        <w:t>c</w:t>
      </w:r>
      <w:r>
        <w:t>our, ils doivent indiquer</w:t>
      </w:r>
      <w:r w:rsidR="00DE40EF">
        <w:t>,</w:t>
      </w:r>
      <w:r>
        <w:t xml:space="preserve"> dans l’objet de l’avis</w:t>
      </w:r>
      <w:r w:rsidR="00DE40EF">
        <w:t>,</w:t>
      </w:r>
      <w:r>
        <w:t xml:space="preserve"> la demande qui est visée ainsi que sa séquence au plumitif.</w:t>
      </w:r>
    </w:p>
    <w:p w14:paraId="5306C2FA" w14:textId="5AD3D8BE" w:rsidR="006305ED" w:rsidRDefault="003B4897" w:rsidP="005977BA">
      <w:pPr>
        <w:pStyle w:val="Harmonisation-paragraphe"/>
      </w:pPr>
      <w:r>
        <w:t>L</w:t>
      </w:r>
      <w:r w:rsidR="00BD6B53">
        <w:t xml:space="preserve">es parties doivent </w:t>
      </w:r>
      <w:r w:rsidR="0061482A">
        <w:t xml:space="preserve">remplir </w:t>
      </w:r>
      <w:r w:rsidR="00BD6B53">
        <w:t xml:space="preserve">une déclaration commune pour fixation d’une </w:t>
      </w:r>
      <w:r w:rsidR="00BD6B53" w:rsidRPr="004B2FEB">
        <w:t>audience (</w:t>
      </w:r>
      <w:hyperlink r:id="rId25" w:history="1">
        <w:r w:rsidR="004802DC" w:rsidRPr="005D3804">
          <w:rPr>
            <w:rStyle w:val="Lienhypertexte"/>
          </w:rPr>
          <w:t>annexe </w:t>
        </w:r>
        <w:r w:rsidR="005D3804" w:rsidRPr="005D3804">
          <w:rPr>
            <w:rStyle w:val="Lienhypertexte"/>
          </w:rPr>
          <w:t xml:space="preserve">Division </w:t>
        </w:r>
        <w:r w:rsidR="004802DC" w:rsidRPr="005D3804">
          <w:rPr>
            <w:rStyle w:val="Lienhypertexte"/>
          </w:rPr>
          <w:t>4</w:t>
        </w:r>
      </w:hyperlink>
      <w:r w:rsidR="004053B2" w:rsidRPr="004B2FEB">
        <w:t>)</w:t>
      </w:r>
      <w:r w:rsidR="004053B2">
        <w:t xml:space="preserve">, </w:t>
      </w:r>
      <w:r>
        <w:t>lorsque</w:t>
      </w:r>
      <w:r w:rsidR="009C186E">
        <w:t xml:space="preserve"> celle-ci excède</w:t>
      </w:r>
      <w:r>
        <w:t xml:space="preserve"> </w:t>
      </w:r>
      <w:r w:rsidR="00F73391">
        <w:t xml:space="preserve">la durée prévue </w:t>
      </w:r>
      <w:r w:rsidR="009C186E">
        <w:t>aux directives du district</w:t>
      </w:r>
      <w:r w:rsidR="00F73391">
        <w:t xml:space="preserve">. </w:t>
      </w:r>
    </w:p>
    <w:p w14:paraId="4572D8AC" w14:textId="77777777" w:rsidR="00D27B93" w:rsidRDefault="00D27B93" w:rsidP="005977BA">
      <w:pPr>
        <w:pStyle w:val="Harmonisation-paragraphe"/>
      </w:pPr>
      <w:r>
        <w:t xml:space="preserve">L’audience d’une demande en rejet (art. 51 C.p.c.) et en irrecevabilité (art. 168 C.p.c.) ne peut dépasser une journée, sauf avec l’autorisation </w:t>
      </w:r>
      <w:r w:rsidR="004C2CBB">
        <w:t>d’un juge</w:t>
      </w:r>
      <w:r>
        <w:t>.</w:t>
      </w:r>
    </w:p>
    <w:p w14:paraId="61EF0EE1" w14:textId="77777777" w:rsidR="00364EA3" w:rsidRDefault="00AF2BC3" w:rsidP="005977BA">
      <w:pPr>
        <w:pStyle w:val="Harmonisation-paragraphe"/>
      </w:pPr>
      <w:r>
        <w:t>Aucune cause</w:t>
      </w:r>
      <w:r w:rsidR="004F03E2">
        <w:t xml:space="preserve"> dont la date d’audience</w:t>
      </w:r>
      <w:r w:rsidR="004B2FEB">
        <w:t xml:space="preserve"> </w:t>
      </w:r>
      <w:r w:rsidR="004F03E2">
        <w:t>a été fixée par le tribunal ou au moyen d’une déclaration commune</w:t>
      </w:r>
      <w:r>
        <w:t xml:space="preserve"> n’est remise du seul consentement des parties ou de leur absence. Le cas échéant, elle est rayée du rôle.</w:t>
      </w:r>
      <w:r w:rsidR="00896AF7">
        <w:t xml:space="preserve"> </w:t>
      </w:r>
    </w:p>
    <w:p w14:paraId="2B1ACA1F" w14:textId="56032B1A" w:rsidR="003B4897" w:rsidRDefault="003B4897" w:rsidP="005977BA">
      <w:pPr>
        <w:pStyle w:val="Harmonisation-paragraphe"/>
      </w:pPr>
      <w:r>
        <w:t xml:space="preserve">La demande doit être conforme aux exigences de l’article 99 C.p.c. et être appuyée d’une ou de plusieurs déclarations </w:t>
      </w:r>
      <w:r w:rsidR="00095FB9">
        <w:t>sous serment</w:t>
      </w:r>
      <w:r>
        <w:t>, lorsque la preuve des faits allégués n’est pas au dossier</w:t>
      </w:r>
      <w:r w:rsidR="00AC6117">
        <w:t xml:space="preserve"> (art. 101 </w:t>
      </w:r>
      <w:r w:rsidR="00A43B9B">
        <w:t xml:space="preserve">al. </w:t>
      </w:r>
      <w:r w:rsidR="00AC6117">
        <w:t>3 C.p.c.)</w:t>
      </w:r>
      <w:r>
        <w:t>.</w:t>
      </w:r>
    </w:p>
    <w:p w14:paraId="3DC8CED2" w14:textId="77777777" w:rsidR="003B4897" w:rsidRDefault="003B4897" w:rsidP="005977BA">
      <w:pPr>
        <w:pStyle w:val="Harmonisation-paragraphe"/>
      </w:pPr>
      <w:r>
        <w:t xml:space="preserve">Le recours à un avis de gestion doit être limité aux cas où une mesure de gestion est requise pour l’avancement du dossier. </w:t>
      </w:r>
    </w:p>
    <w:p w14:paraId="5BB313AC" w14:textId="77777777" w:rsidR="003B4897" w:rsidRDefault="003B4897" w:rsidP="005977BA">
      <w:pPr>
        <w:pStyle w:val="Harmonisation-paragraphe"/>
      </w:pPr>
      <w:r>
        <w:t>Un avis de gestion ne peut être utilisé pour présenter une demande qui est prévue spécifiquement au C.p.c. C’est le cas, notamment, pour une :</w:t>
      </w:r>
    </w:p>
    <w:p w14:paraId="00068EF8" w14:textId="77777777" w:rsidR="003B4897" w:rsidRDefault="003B4897" w:rsidP="00F73391">
      <w:pPr>
        <w:pStyle w:val="Harmonisation-a"/>
        <w:ind w:left="1276" w:hanging="425"/>
      </w:pPr>
      <w:r>
        <w:t>suspension de l’instance;</w:t>
      </w:r>
    </w:p>
    <w:p w14:paraId="16A77FA3" w14:textId="77777777" w:rsidR="003B4897" w:rsidRDefault="003B4897" w:rsidP="00F73391">
      <w:pPr>
        <w:pStyle w:val="Harmonisation-a"/>
        <w:ind w:left="1276" w:hanging="425"/>
      </w:pPr>
      <w:r>
        <w:t>prolongation du délai pour la mise en état du dossier.</w:t>
      </w:r>
    </w:p>
    <w:p w14:paraId="32D844E4" w14:textId="335358EE" w:rsidR="00084501" w:rsidRPr="00084501" w:rsidRDefault="00E8671E" w:rsidP="00073E0A">
      <w:pPr>
        <w:pStyle w:val="Harmonisation-titre2"/>
        <w:rPr>
          <w:rStyle w:val="Harmonisation-paragrapheCar"/>
        </w:rPr>
      </w:pPr>
      <w:bookmarkStart w:id="32" w:name="_Toc154072885"/>
      <w:bookmarkStart w:id="33" w:name="_Hlk119321385"/>
      <w:r>
        <w:t>R</w:t>
      </w:r>
      <w:r>
        <w:rPr>
          <w:rFonts w:hint="eastAsia"/>
        </w:rPr>
        <w:t>è</w:t>
      </w:r>
      <w:r>
        <w:t>gles particuli</w:t>
      </w:r>
      <w:r>
        <w:rPr>
          <w:rFonts w:hint="eastAsia"/>
        </w:rPr>
        <w:t>è</w:t>
      </w:r>
      <w:r>
        <w:t>res s’appliquant aux demandes d</w:t>
      </w:r>
      <w:r w:rsidR="00DA71E4">
        <w:t>'ordonnance de</w:t>
      </w:r>
      <w:r>
        <w:t xml:space="preserve"> sauvegarde en mati</w:t>
      </w:r>
      <w:r>
        <w:rPr>
          <w:rFonts w:hint="eastAsia"/>
        </w:rPr>
        <w:t>è</w:t>
      </w:r>
      <w:r>
        <w:t>re familiale</w:t>
      </w:r>
      <w:bookmarkEnd w:id="32"/>
    </w:p>
    <w:p w14:paraId="2DD7BA8F" w14:textId="1F876500" w:rsidR="003B4897" w:rsidRDefault="005027C7" w:rsidP="005977BA">
      <w:pPr>
        <w:pStyle w:val="Harmonisation-paragraphe"/>
        <w:rPr>
          <w:rStyle w:val="Aucun"/>
          <w:lang w:val="fr-CA"/>
        </w:rPr>
      </w:pPr>
      <w:r>
        <w:rPr>
          <w:rStyle w:val="Aucun"/>
          <w:lang w:val="fr-CA"/>
        </w:rPr>
        <w:t>A</w:t>
      </w:r>
      <w:r w:rsidR="003B4897">
        <w:rPr>
          <w:rStyle w:val="Aucun"/>
          <w:lang w:val="fr-CA"/>
        </w:rPr>
        <w:t xml:space="preserve">ucune demande pour l’émission d’une ordonnance de sauvegarde ne sera entendue, à moins qu’un délai de </w:t>
      </w:r>
      <w:r w:rsidR="00151741">
        <w:rPr>
          <w:rStyle w:val="Aucun"/>
          <w:lang w:val="fr-CA"/>
        </w:rPr>
        <w:t>dix</w:t>
      </w:r>
      <w:r w:rsidR="003B4897">
        <w:rPr>
          <w:rStyle w:val="Aucun"/>
          <w:lang w:val="fr-CA"/>
        </w:rPr>
        <w:t xml:space="preserve"> jours ne se soit écoulé depuis la notification ou la signification de la demande, que celle-ci soit jointe </w:t>
      </w:r>
      <w:r w:rsidR="00A97FEB">
        <w:rPr>
          <w:rStyle w:val="Aucun"/>
          <w:lang w:val="fr-CA"/>
        </w:rPr>
        <w:t xml:space="preserve">ou incorporée </w:t>
      </w:r>
      <w:r w:rsidR="003B4897">
        <w:rPr>
          <w:rStyle w:val="Aucun"/>
          <w:lang w:val="fr-CA"/>
        </w:rPr>
        <w:t>à une demande introductive d’instance.</w:t>
      </w:r>
      <w:r>
        <w:rPr>
          <w:rStyle w:val="Aucun"/>
          <w:lang w:val="fr-CA"/>
        </w:rPr>
        <w:t xml:space="preserve"> Néanmoins, le tribunal peut abréger ce délai</w:t>
      </w:r>
      <w:r w:rsidR="00756669">
        <w:rPr>
          <w:rStyle w:val="Aucun"/>
          <w:lang w:val="fr-CA"/>
        </w:rPr>
        <w:t>, si les circonstances le justifient</w:t>
      </w:r>
      <w:r>
        <w:rPr>
          <w:rStyle w:val="Aucun"/>
          <w:lang w:val="fr-CA"/>
        </w:rPr>
        <w:t xml:space="preserve"> (art. 84 C.p.c.).</w:t>
      </w:r>
    </w:p>
    <w:p w14:paraId="481CDE82" w14:textId="3C728EE8" w:rsidR="00B412C0" w:rsidRDefault="00B412C0" w:rsidP="005977BA">
      <w:pPr>
        <w:pStyle w:val="Harmonisation-paragraphe"/>
        <w:rPr>
          <w:rStyle w:val="Aucun"/>
          <w:lang w:val="fr-CA"/>
        </w:rPr>
      </w:pPr>
      <w:r>
        <w:rPr>
          <w:rStyle w:val="Aucun"/>
          <w:lang w:val="fr-CA"/>
        </w:rPr>
        <w:t xml:space="preserve">Les faits allégués au soutien d’une demande pour l’émission d’une ordonnance de sauvegarde, jointe ou incorporée dans une demande introductive d’instance, ne peuvent excéder cinq pages. </w:t>
      </w:r>
      <w:r w:rsidR="00A97FEB">
        <w:t>Autrement, les faits au soutien de la demande sont exposés dans une déclaration sous serment d’un maximum de cinq pages.</w:t>
      </w:r>
    </w:p>
    <w:p w14:paraId="169103E9" w14:textId="315F7588" w:rsidR="00151741" w:rsidRDefault="00A97FEB" w:rsidP="005977BA">
      <w:pPr>
        <w:pStyle w:val="Harmonisation-paragraphe"/>
      </w:pPr>
      <w:r>
        <w:lastRenderedPageBreak/>
        <w:t>L</w:t>
      </w:r>
      <w:r w:rsidR="00756669">
        <w:t xml:space="preserve">es motifs au soutien de l’urgence </w:t>
      </w:r>
      <w:r w:rsidR="00C7272D">
        <w:t xml:space="preserve">doivent </w:t>
      </w:r>
      <w:r w:rsidR="00756669">
        <w:t>être spécifiquement allégués.</w:t>
      </w:r>
    </w:p>
    <w:p w14:paraId="544FBD96" w14:textId="31DECFC8" w:rsidR="00151741" w:rsidRDefault="00151741" w:rsidP="005977BA">
      <w:pPr>
        <w:pStyle w:val="Harmonisation-paragraphe"/>
        <w:rPr>
          <w:rStyle w:val="Aucun"/>
          <w:lang w:val="fr-CA"/>
        </w:rPr>
      </w:pPr>
      <w:r w:rsidRPr="00707C20">
        <w:rPr>
          <w:rStyle w:val="Aucun"/>
          <w:lang w:val="fr-CA"/>
        </w:rPr>
        <w:t xml:space="preserve">La déclaration sous serment </w:t>
      </w:r>
      <w:r w:rsidR="00615709" w:rsidRPr="00A22628">
        <w:rPr>
          <w:rStyle w:val="Aucun"/>
          <w:lang w:val="fr-CA"/>
        </w:rPr>
        <w:t>réponse</w:t>
      </w:r>
      <w:r w:rsidR="00A22628">
        <w:rPr>
          <w:rStyle w:val="Aucun"/>
          <w:lang w:val="fr-CA"/>
        </w:rPr>
        <w:t>,</w:t>
      </w:r>
      <w:r w:rsidR="00615709" w:rsidRPr="00A22628">
        <w:rPr>
          <w:rStyle w:val="Aucun"/>
          <w:lang w:val="fr-CA"/>
        </w:rPr>
        <w:t xml:space="preserve"> d’un</w:t>
      </w:r>
      <w:r w:rsidR="00906CCA">
        <w:rPr>
          <w:rStyle w:val="Aucun"/>
          <w:lang w:val="fr-CA"/>
        </w:rPr>
        <w:t xml:space="preserve"> maximum de cinq pages</w:t>
      </w:r>
      <w:r w:rsidR="00A22628">
        <w:rPr>
          <w:rStyle w:val="Aucun"/>
          <w:lang w:val="fr-CA"/>
        </w:rPr>
        <w:t>,</w:t>
      </w:r>
      <w:r w:rsidRPr="00707C20">
        <w:rPr>
          <w:rStyle w:val="Aucun"/>
          <w:lang w:val="fr-CA"/>
        </w:rPr>
        <w:t xml:space="preserve"> et les pièces de la partie qui conteste la demande doivent être notifiées </w:t>
      </w:r>
      <w:r w:rsidR="00906CCA">
        <w:rPr>
          <w:rStyle w:val="Aucun"/>
          <w:lang w:val="fr-CA"/>
        </w:rPr>
        <w:t xml:space="preserve">et déposées au greffe </w:t>
      </w:r>
      <w:r w:rsidRPr="00707C20">
        <w:rPr>
          <w:rStyle w:val="Aucun"/>
          <w:lang w:val="fr-CA"/>
        </w:rPr>
        <w:t xml:space="preserve">au moins </w:t>
      </w:r>
      <w:r w:rsidR="0061482A">
        <w:rPr>
          <w:rStyle w:val="Aucun"/>
          <w:lang w:val="fr-CA"/>
        </w:rPr>
        <w:t>quatre</w:t>
      </w:r>
      <w:r w:rsidR="0061482A" w:rsidRPr="00707C20">
        <w:rPr>
          <w:rStyle w:val="Aucun"/>
          <w:lang w:val="fr-CA"/>
        </w:rPr>
        <w:t xml:space="preserve"> </w:t>
      </w:r>
      <w:r w:rsidRPr="00707C20">
        <w:rPr>
          <w:rStyle w:val="Aucun"/>
          <w:lang w:val="fr-CA"/>
        </w:rPr>
        <w:t>jours avant la date de présentation</w:t>
      </w:r>
      <w:r w:rsidR="00906CCA">
        <w:rPr>
          <w:rStyle w:val="Aucun"/>
          <w:lang w:val="fr-CA"/>
        </w:rPr>
        <w:t>.</w:t>
      </w:r>
      <w:r w:rsidRPr="00707C20">
        <w:rPr>
          <w:rStyle w:val="Aucun"/>
          <w:lang w:val="fr-CA"/>
        </w:rPr>
        <w:t xml:space="preserve"> </w:t>
      </w:r>
      <w:r w:rsidR="008E1D89">
        <w:rPr>
          <w:rStyle w:val="Aucun"/>
          <w:lang w:val="fr-CA"/>
        </w:rPr>
        <w:t>Elle doit indiquer dans son titre la date de la demande d’ordonnance de sauvegarde et</w:t>
      </w:r>
      <w:r w:rsidR="00DE40EF">
        <w:rPr>
          <w:rStyle w:val="Aucun"/>
          <w:lang w:val="fr-CA"/>
        </w:rPr>
        <w:t xml:space="preserve"> à l’endos la date de présentation de celle-ci</w:t>
      </w:r>
      <w:r w:rsidR="008E1D89">
        <w:rPr>
          <w:rStyle w:val="Aucun"/>
          <w:lang w:val="fr-CA"/>
        </w:rPr>
        <w:t>.</w:t>
      </w:r>
    </w:p>
    <w:p w14:paraId="12290953" w14:textId="790249D6" w:rsidR="00151741" w:rsidRDefault="00151741" w:rsidP="005977BA">
      <w:pPr>
        <w:pStyle w:val="Harmonisation-paragraphe"/>
        <w:rPr>
          <w:rStyle w:val="Aucun"/>
          <w:lang w:val="fr-CA"/>
        </w:rPr>
      </w:pPr>
      <w:r>
        <w:rPr>
          <w:rStyle w:val="Aucun"/>
          <w:lang w:val="fr-CA"/>
        </w:rPr>
        <w:t>Une déclaration sous serment réplique</w:t>
      </w:r>
      <w:r w:rsidR="00983737">
        <w:rPr>
          <w:rStyle w:val="Aucun"/>
          <w:lang w:val="fr-CA"/>
        </w:rPr>
        <w:t xml:space="preserve">, </w:t>
      </w:r>
      <w:r w:rsidR="00906CCA">
        <w:rPr>
          <w:rStyle w:val="Aucun"/>
          <w:lang w:val="fr-CA"/>
        </w:rPr>
        <w:t>d’un maximum de deux pages</w:t>
      </w:r>
      <w:r w:rsidR="00983737">
        <w:rPr>
          <w:rStyle w:val="Aucun"/>
          <w:lang w:val="fr-CA"/>
        </w:rPr>
        <w:t>,</w:t>
      </w:r>
      <w:r>
        <w:rPr>
          <w:rStyle w:val="Aucun"/>
          <w:lang w:val="fr-CA"/>
        </w:rPr>
        <w:t xml:space="preserve"> doit être notifiée et déposée au greffe au plus tard </w:t>
      </w:r>
      <w:r w:rsidR="0061482A">
        <w:rPr>
          <w:rStyle w:val="Aucun"/>
          <w:lang w:val="fr-CA"/>
        </w:rPr>
        <w:t xml:space="preserve">deux </w:t>
      </w:r>
      <w:r>
        <w:rPr>
          <w:rStyle w:val="Aucun"/>
          <w:lang w:val="fr-CA"/>
        </w:rPr>
        <w:t>jours avant la date de présentation.</w:t>
      </w:r>
      <w:r w:rsidR="008E1D89">
        <w:rPr>
          <w:rStyle w:val="Aucun"/>
          <w:lang w:val="fr-CA"/>
        </w:rPr>
        <w:t xml:space="preserve"> Elle doit indiquer dans son titre la date de la demande d’ordonnance de sauvegarde et </w:t>
      </w:r>
      <w:r w:rsidR="00DE40EF">
        <w:rPr>
          <w:rStyle w:val="Aucun"/>
          <w:lang w:val="fr-CA"/>
        </w:rPr>
        <w:t>à l’endos la date de présentation de celle</w:t>
      </w:r>
      <w:r w:rsidR="00DE40EF">
        <w:rPr>
          <w:rStyle w:val="Aucun"/>
          <w:lang w:val="fr-CA"/>
        </w:rPr>
        <w:noBreakHyphen/>
        <w:t xml:space="preserve">ci. </w:t>
      </w:r>
    </w:p>
    <w:p w14:paraId="4B5762DC" w14:textId="77777777" w:rsidR="008E1D89" w:rsidRDefault="008E1D89" w:rsidP="005977BA">
      <w:pPr>
        <w:pStyle w:val="Harmonisation-paragraphe"/>
        <w:rPr>
          <w:rStyle w:val="Aucun"/>
          <w:lang w:val="fr-CA"/>
        </w:rPr>
      </w:pPr>
      <w:r>
        <w:rPr>
          <w:rStyle w:val="Aucun"/>
          <w:lang w:val="fr-CA"/>
        </w:rPr>
        <w:t xml:space="preserve">Chaque paragraphe d’une déclaration sous serment doit énoncer un seul fait. </w:t>
      </w:r>
    </w:p>
    <w:p w14:paraId="7278641E" w14:textId="67D7820A" w:rsidR="008438F8" w:rsidRDefault="008438F8" w:rsidP="005977BA">
      <w:pPr>
        <w:pStyle w:val="Harmonisation-paragraphe"/>
      </w:pPr>
      <w:r>
        <w:t xml:space="preserve">Advenant que la demande </w:t>
      </w:r>
      <w:r w:rsidR="005A5B19">
        <w:t>doive</w:t>
      </w:r>
      <w:r>
        <w:t xml:space="preserve"> être entendue avant l’expiration d</w:t>
      </w:r>
      <w:r w:rsidR="00DA71E4">
        <w:t>u</w:t>
      </w:r>
      <w:r>
        <w:t xml:space="preserve"> délai de dix jours, le tribunal s’assure au préalable que les parties ont eu suffisamment de temps pour s’échanger leurs déclarations </w:t>
      </w:r>
      <w:r w:rsidR="00095FB9">
        <w:t xml:space="preserve">sous serment </w:t>
      </w:r>
      <w:r>
        <w:t>et pièces.</w:t>
      </w:r>
    </w:p>
    <w:p w14:paraId="0FA5B6B5" w14:textId="77777777" w:rsidR="003B4897" w:rsidRPr="00F73391" w:rsidRDefault="00151741" w:rsidP="005977BA">
      <w:pPr>
        <w:pStyle w:val="Harmonisation-paragraphe"/>
        <w:rPr>
          <w:rStyle w:val="Aucun"/>
          <w:lang w:val="fr-CA"/>
        </w:rPr>
      </w:pPr>
      <w:r>
        <w:t>Le tribunal peut rendre toute ordonnance appropriée afin de favoriser un débat loyal entre les parties (art. 20 et 49 C.p.c.) et le bon déroulement de l’instance, en regard</w:t>
      </w:r>
      <w:r w:rsidR="00DE40EF">
        <w:t xml:space="preserve"> de l’application des règles de la présente section</w:t>
      </w:r>
      <w:r>
        <w:t>.</w:t>
      </w:r>
    </w:p>
    <w:p w14:paraId="635EEF21" w14:textId="77777777" w:rsidR="00817164" w:rsidRDefault="00817164" w:rsidP="00073E0A">
      <w:pPr>
        <w:pStyle w:val="Harmonisation-titre2"/>
      </w:pPr>
      <w:bookmarkStart w:id="34" w:name="_Toc88053899"/>
      <w:bookmarkStart w:id="35" w:name="_Toc154072886"/>
      <w:bookmarkEnd w:id="33"/>
      <w:r>
        <w:t>Objections</w:t>
      </w:r>
      <w:bookmarkEnd w:id="34"/>
      <w:bookmarkEnd w:id="35"/>
    </w:p>
    <w:p w14:paraId="4C08B9BA" w14:textId="1B1A7EE2" w:rsidR="00817164" w:rsidRDefault="00A22628" w:rsidP="005977BA">
      <w:pPr>
        <w:pStyle w:val="Harmonisation-paragraphe"/>
      </w:pPr>
      <w:r w:rsidRPr="00AC4D29">
        <w:t>Tou</w:t>
      </w:r>
      <w:r w:rsidR="002E1B29" w:rsidRPr="00AC4D29">
        <w:t xml:space="preserve">t </w:t>
      </w:r>
      <w:r w:rsidRPr="00AC4D29">
        <w:t xml:space="preserve">débat d'objections doit être demandé par avis de gestion et ne peut être fixé pour </w:t>
      </w:r>
      <w:r w:rsidR="0046449C" w:rsidRPr="00AC4D29">
        <w:t>audience</w:t>
      </w:r>
      <w:r w:rsidRPr="00AC4D29">
        <w:t>, à moins qu'un document commun y soit joint regroupant par sujets les questions et engagements visés, les motifs au soutien des objections et le temps requis pour en disposer.</w:t>
      </w:r>
    </w:p>
    <w:p w14:paraId="05C9EE43" w14:textId="4314966A" w:rsidR="00E346D0" w:rsidRDefault="00FB5B93" w:rsidP="005977BA">
      <w:pPr>
        <w:pStyle w:val="Harmonisation-paragraphe"/>
        <w:rPr>
          <w:rStyle w:val="Aucun"/>
          <w:lang w:val="fr-CA"/>
        </w:rPr>
      </w:pPr>
      <w:bookmarkStart w:id="36" w:name="_Toc88"/>
      <w:r>
        <w:rPr>
          <w:rStyle w:val="Aucun"/>
          <w:lang w:val="fr-CA"/>
        </w:rPr>
        <w:t xml:space="preserve">Les </w:t>
      </w:r>
      <w:r w:rsidR="00E346D0" w:rsidRPr="00D71BFB">
        <w:rPr>
          <w:rStyle w:val="Aucun"/>
          <w:lang w:val="fr-CA"/>
        </w:rPr>
        <w:t xml:space="preserve">parties doivent </w:t>
      </w:r>
      <w:bookmarkEnd w:id="36"/>
      <w:r w:rsidR="00E346D0" w:rsidRPr="00D71BFB">
        <w:rPr>
          <w:rStyle w:val="Aucun"/>
          <w:lang w:val="fr-CA"/>
        </w:rPr>
        <w:t xml:space="preserve">remplir une déclaration commune pour fixation d’une </w:t>
      </w:r>
      <w:r w:rsidR="00E346D0" w:rsidRPr="002E0B07">
        <w:rPr>
          <w:rStyle w:val="Aucun"/>
          <w:lang w:val="fr-CA"/>
        </w:rPr>
        <w:t>audience (</w:t>
      </w:r>
      <w:hyperlink r:id="rId26" w:history="1">
        <w:r w:rsidR="004802DC" w:rsidRPr="005D3804">
          <w:rPr>
            <w:rStyle w:val="Lienhypertexte"/>
          </w:rPr>
          <w:t xml:space="preserve">annexe </w:t>
        </w:r>
        <w:r w:rsidR="005D3804" w:rsidRPr="005D3804">
          <w:rPr>
            <w:rStyle w:val="Lienhypertexte"/>
          </w:rPr>
          <w:t xml:space="preserve">Division </w:t>
        </w:r>
        <w:r w:rsidR="004802DC" w:rsidRPr="005D3804">
          <w:rPr>
            <w:rStyle w:val="Lienhypertexte"/>
          </w:rPr>
          <w:t>4</w:t>
        </w:r>
      </w:hyperlink>
      <w:r w:rsidR="004053B2" w:rsidRPr="002E0B07">
        <w:rPr>
          <w:rStyle w:val="Aucun"/>
          <w:lang w:val="fr-CA"/>
        </w:rPr>
        <w:t>)</w:t>
      </w:r>
      <w:r w:rsidR="004053B2">
        <w:rPr>
          <w:rStyle w:val="Aucun"/>
          <w:lang w:val="fr-CA"/>
        </w:rPr>
        <w:t xml:space="preserve">, </w:t>
      </w:r>
      <w:r w:rsidR="009C186E">
        <w:rPr>
          <w:rStyle w:val="Aucun"/>
          <w:lang w:val="fr-CA"/>
        </w:rPr>
        <w:t>lorsque celle-ci ex</w:t>
      </w:r>
      <w:r>
        <w:rPr>
          <w:rStyle w:val="Aucun"/>
          <w:lang w:val="fr-CA"/>
        </w:rPr>
        <w:t xml:space="preserve">cède </w:t>
      </w:r>
      <w:r w:rsidR="009C186E">
        <w:rPr>
          <w:rStyle w:val="Aucun"/>
          <w:lang w:val="fr-CA"/>
        </w:rPr>
        <w:t>la durée prévue</w:t>
      </w:r>
      <w:r>
        <w:rPr>
          <w:rStyle w:val="Aucun"/>
          <w:lang w:val="fr-CA"/>
        </w:rPr>
        <w:t xml:space="preserve"> </w:t>
      </w:r>
      <w:r w:rsidR="009C186E">
        <w:rPr>
          <w:rStyle w:val="Aucun"/>
          <w:lang w:val="fr-CA"/>
        </w:rPr>
        <w:t>aux directives du district</w:t>
      </w:r>
      <w:r w:rsidR="006A288C" w:rsidRPr="002E0B07">
        <w:rPr>
          <w:rStyle w:val="Aucun"/>
          <w:lang w:val="fr-CA"/>
        </w:rPr>
        <w:t>.</w:t>
      </w:r>
      <w:r w:rsidR="0079689B">
        <w:rPr>
          <w:rStyle w:val="Aucun"/>
          <w:lang w:val="fr-CA"/>
        </w:rPr>
        <w:t xml:space="preserve"> </w:t>
      </w:r>
    </w:p>
    <w:p w14:paraId="2EC64414" w14:textId="77777777" w:rsidR="006A288C" w:rsidRDefault="006A288C" w:rsidP="00073E0A">
      <w:pPr>
        <w:pStyle w:val="Harmonisation-titre2"/>
      </w:pPr>
      <w:bookmarkStart w:id="37" w:name="_Toc88053900"/>
      <w:bookmarkStart w:id="38" w:name="_Toc154072887"/>
      <w:r>
        <w:t>Juge en son cabinet</w:t>
      </w:r>
      <w:bookmarkEnd w:id="37"/>
      <w:r w:rsidR="001F189D">
        <w:t xml:space="preserve"> et juge de garde</w:t>
      </w:r>
      <w:bookmarkEnd w:id="38"/>
    </w:p>
    <w:p w14:paraId="072E6E8A" w14:textId="52FC84D6" w:rsidR="00411BFC" w:rsidRDefault="007160AE" w:rsidP="005977BA">
      <w:pPr>
        <w:pStyle w:val="Harmonisation-paragraphe"/>
      </w:pPr>
      <w:r w:rsidRPr="006921BC">
        <w:t>L</w:t>
      </w:r>
      <w:r w:rsidR="000D02D7">
        <w:t>e juge siégeant en son cabinet</w:t>
      </w:r>
      <w:r w:rsidRPr="006921BC">
        <w:t xml:space="preserve"> entend </w:t>
      </w:r>
      <w:r w:rsidR="000D02D7">
        <w:t>toute</w:t>
      </w:r>
      <w:r w:rsidRPr="006921BC">
        <w:t xml:space="preserve"> demande nécessitant une intervention immédiate </w:t>
      </w:r>
      <w:r w:rsidR="00C56BBC">
        <w:t xml:space="preserve">ou </w:t>
      </w:r>
      <w:r w:rsidRPr="006921BC">
        <w:t>qui ne requiert pas d'enquête (art.</w:t>
      </w:r>
      <w:r w:rsidR="00965EE0">
        <w:t> </w:t>
      </w:r>
      <w:r w:rsidRPr="006921BC">
        <w:t>69</w:t>
      </w:r>
      <w:r w:rsidR="00965EE0">
        <w:t> </w:t>
      </w:r>
      <w:r w:rsidRPr="006921BC">
        <w:t>C.p.c.)</w:t>
      </w:r>
      <w:r w:rsidR="000D02D7">
        <w:t xml:space="preserve">. À moins de </w:t>
      </w:r>
      <w:r w:rsidRPr="006921BC">
        <w:t>circonstances particulières, la partie adverse</w:t>
      </w:r>
      <w:r w:rsidR="000D02D7">
        <w:t xml:space="preserve"> qui entend présenter une telle demande doit donner un préavis suffisant à la partie en lui </w:t>
      </w:r>
      <w:r w:rsidRPr="006921BC">
        <w:t xml:space="preserve">indiquant </w:t>
      </w:r>
      <w:r w:rsidR="000D02D7">
        <w:t xml:space="preserve">le numéro de la salle, </w:t>
      </w:r>
      <w:r w:rsidRPr="006921BC">
        <w:t xml:space="preserve">la </w:t>
      </w:r>
      <w:r w:rsidR="00965EE0">
        <w:t>date et l’heure de</w:t>
      </w:r>
      <w:r w:rsidR="000D02D7">
        <w:t xml:space="preserve"> </w:t>
      </w:r>
      <w:r w:rsidR="00965EE0">
        <w:t>présentation</w:t>
      </w:r>
      <w:r w:rsidR="000D02D7">
        <w:t xml:space="preserve"> de celle</w:t>
      </w:r>
      <w:r w:rsidR="00095FB9">
        <w:noBreakHyphen/>
      </w:r>
      <w:r w:rsidR="000D02D7">
        <w:t xml:space="preserve">ci. </w:t>
      </w:r>
    </w:p>
    <w:p w14:paraId="1B534B3F" w14:textId="77777777" w:rsidR="007160AE" w:rsidRDefault="007160AE" w:rsidP="005977BA">
      <w:pPr>
        <w:pStyle w:val="Harmonisation-paragraphe"/>
      </w:pPr>
      <w:r w:rsidRPr="006921BC">
        <w:t>La partie qui entend présenter une telle demande doit d’abord</w:t>
      </w:r>
      <w:r w:rsidR="00FB5B93">
        <w:t xml:space="preserve">, lorsque requis, </w:t>
      </w:r>
      <w:r w:rsidRPr="006921BC">
        <w:t xml:space="preserve">payer les frais de justice </w:t>
      </w:r>
      <w:r w:rsidR="00B03010">
        <w:t xml:space="preserve">(timbre judiciaire) </w:t>
      </w:r>
      <w:r w:rsidRPr="006921BC">
        <w:t xml:space="preserve">et faire ouvrir un dossier </w:t>
      </w:r>
      <w:r w:rsidRPr="006921BC">
        <w:lastRenderedPageBreak/>
        <w:t>au greffe</w:t>
      </w:r>
      <w:r w:rsidR="000D02D7">
        <w:t>. La dem</w:t>
      </w:r>
      <w:r w:rsidR="00B9066D">
        <w:t>ande sera entendue</w:t>
      </w:r>
      <w:r w:rsidR="000D02D7">
        <w:t xml:space="preserve"> suivant les règles applicables à chaque district.</w:t>
      </w:r>
      <w:r w:rsidRPr="006921BC">
        <w:t xml:space="preserve"> </w:t>
      </w:r>
    </w:p>
    <w:p w14:paraId="657A82AE" w14:textId="39E56815" w:rsidR="001F189D" w:rsidRDefault="001F189D" w:rsidP="005977BA">
      <w:pPr>
        <w:pStyle w:val="Harmonisation-paragraphe"/>
      </w:pPr>
      <w:r>
        <w:t>Un juge de garde est désigné pour entendre une demande nécessitant une intervention immédiate en dehors des heures d’ouverture normales du tribunal, les fins de semaine ainsi que les jours fériés. La partie doit communiquer avec le Service de sécurité du Palais de justice de Montréal au 514 393-2819.</w:t>
      </w:r>
    </w:p>
    <w:p w14:paraId="27F44267" w14:textId="77777777" w:rsidR="002337CA" w:rsidRDefault="002337CA" w:rsidP="00073E0A">
      <w:pPr>
        <w:pStyle w:val="Harmonisation-titre2"/>
      </w:pPr>
      <w:bookmarkStart w:id="39" w:name="_Toc88053901"/>
      <w:bookmarkStart w:id="40" w:name="_Toc154072888"/>
      <w:r>
        <w:t>Pourvoi en contrôle judiciaire</w:t>
      </w:r>
      <w:bookmarkEnd w:id="39"/>
      <w:bookmarkEnd w:id="40"/>
    </w:p>
    <w:p w14:paraId="60A42030" w14:textId="77777777" w:rsidR="002337CA" w:rsidRDefault="002337CA" w:rsidP="005977BA">
      <w:pPr>
        <w:pStyle w:val="Harmonisation-paragraphe"/>
        <w:rPr>
          <w:rStyle w:val="Aucun"/>
          <w:lang w:val="fr-CA"/>
        </w:rPr>
      </w:pPr>
      <w:r w:rsidRPr="002337CA">
        <w:rPr>
          <w:rStyle w:val="Aucun"/>
          <w:lang w:val="fr-CA"/>
        </w:rPr>
        <w:t>L’instruction d’un pourvoi en contrôle judiciaire (art. 529 C.p.c.) ne peut être tenue que si chaque partie dépose un mémoire d’au plus dix pages</w:t>
      </w:r>
      <w:r>
        <w:rPr>
          <w:rStyle w:val="Aucun"/>
          <w:lang w:val="fr-CA"/>
        </w:rPr>
        <w:t>.</w:t>
      </w:r>
    </w:p>
    <w:p w14:paraId="1373C92D" w14:textId="77777777" w:rsidR="002337CA" w:rsidRDefault="003470D5" w:rsidP="005977BA">
      <w:pPr>
        <w:pStyle w:val="Harmonisation-paragraphe"/>
        <w:rPr>
          <w:rStyle w:val="Aucun"/>
          <w:lang w:val="fr-CA"/>
        </w:rPr>
      </w:pPr>
      <w:bookmarkStart w:id="41" w:name="_Toc95"/>
      <w:r>
        <w:rPr>
          <w:rStyle w:val="Aucun"/>
          <w:lang w:val="fr-CA"/>
        </w:rPr>
        <w:t>À défaut d’entente entre les parties, le tribunal fixe</w:t>
      </w:r>
      <w:r w:rsidR="00DF6075" w:rsidRPr="00DF6075">
        <w:rPr>
          <w:rStyle w:val="Aucun"/>
          <w:lang w:val="fr-CA"/>
        </w:rPr>
        <w:t xml:space="preserve"> les</w:t>
      </w:r>
      <w:r w:rsidR="00DF6075">
        <w:rPr>
          <w:rStyle w:val="Aucun"/>
          <w:lang w:val="fr-CA"/>
        </w:rPr>
        <w:t xml:space="preserve"> délais</w:t>
      </w:r>
      <w:r w:rsidR="00DF6075" w:rsidRPr="00DF6075">
        <w:rPr>
          <w:rStyle w:val="Aucun"/>
          <w:lang w:val="fr-CA"/>
        </w:rPr>
        <w:t xml:space="preserve"> de production de ces </w:t>
      </w:r>
      <w:r w:rsidR="00DF6075">
        <w:rPr>
          <w:rStyle w:val="Aucun"/>
          <w:lang w:val="fr-CA"/>
        </w:rPr>
        <w:t>mémoires.</w:t>
      </w:r>
      <w:r w:rsidR="00DF6075" w:rsidRPr="00DF6075">
        <w:rPr>
          <w:rStyle w:val="Aucun"/>
          <w:lang w:val="fr-CA"/>
        </w:rPr>
        <w:t xml:space="preserve"> Une date d’audience ne peut être fixée qu’une fois tous les mémoires déposés.</w:t>
      </w:r>
      <w:bookmarkEnd w:id="41"/>
    </w:p>
    <w:p w14:paraId="5BF980DD" w14:textId="77777777" w:rsidR="00DF6075" w:rsidRDefault="00DF6075" w:rsidP="005977BA">
      <w:pPr>
        <w:pStyle w:val="Harmonisation-paragraphe"/>
        <w:rPr>
          <w:rStyle w:val="Aucun"/>
          <w:lang w:val="fr-CA"/>
        </w:rPr>
      </w:pPr>
      <w:r>
        <w:rPr>
          <w:rStyle w:val="Aucun"/>
          <w:lang w:val="fr-CA"/>
        </w:rPr>
        <w:t>Chaque mémoire doit comprendre :</w:t>
      </w:r>
    </w:p>
    <w:p w14:paraId="0DD17CFF" w14:textId="77777777" w:rsidR="00DF6075" w:rsidRPr="00C07FD4" w:rsidRDefault="00221F4C" w:rsidP="00E70935">
      <w:pPr>
        <w:pStyle w:val="Harmonisation-a"/>
        <w:numPr>
          <w:ilvl w:val="0"/>
          <w:numId w:val="18"/>
        </w:numPr>
        <w:ind w:left="1276" w:hanging="425"/>
        <w:rPr>
          <w:rStyle w:val="Aucun"/>
          <w:lang w:val="fr-CA"/>
        </w:rPr>
      </w:pPr>
      <w:r w:rsidRPr="00C07FD4">
        <w:rPr>
          <w:rStyle w:val="Aucun"/>
          <w:lang w:val="fr-CA"/>
        </w:rPr>
        <w:t>un résumé de la décision dont on demande la révision ou l’annulation;</w:t>
      </w:r>
    </w:p>
    <w:p w14:paraId="38B50CE4" w14:textId="77777777" w:rsidR="00221F4C" w:rsidRPr="00436720" w:rsidRDefault="00221F4C" w:rsidP="00E70935">
      <w:pPr>
        <w:pStyle w:val="Harmonisation-a"/>
        <w:numPr>
          <w:ilvl w:val="0"/>
          <w:numId w:val="18"/>
        </w:numPr>
        <w:ind w:left="1276" w:hanging="425"/>
        <w:rPr>
          <w:rStyle w:val="Aucun"/>
          <w:lang w:val="fr-CA"/>
        </w:rPr>
      </w:pPr>
      <w:r w:rsidRPr="00436720">
        <w:rPr>
          <w:rStyle w:val="Aucun"/>
          <w:lang w:val="fr-CA"/>
        </w:rPr>
        <w:t>les questions en litige;</w:t>
      </w:r>
    </w:p>
    <w:p w14:paraId="14BC60E5" w14:textId="77777777" w:rsidR="00221F4C" w:rsidRPr="00436720" w:rsidRDefault="00221F4C" w:rsidP="00E70935">
      <w:pPr>
        <w:pStyle w:val="Harmonisation-a"/>
        <w:numPr>
          <w:ilvl w:val="0"/>
          <w:numId w:val="18"/>
        </w:numPr>
        <w:ind w:left="1276" w:hanging="425"/>
        <w:rPr>
          <w:rStyle w:val="Aucun"/>
          <w:lang w:val="fr-CA"/>
        </w:rPr>
      </w:pPr>
      <w:r w:rsidRPr="00436720">
        <w:rPr>
          <w:rStyle w:val="Aucun"/>
          <w:lang w:val="fr-CA"/>
        </w:rPr>
        <w:t>la norme de contrôle;</w:t>
      </w:r>
    </w:p>
    <w:p w14:paraId="19DDF168" w14:textId="77777777" w:rsidR="00221F4C" w:rsidRDefault="00221F4C" w:rsidP="00E70935">
      <w:pPr>
        <w:pStyle w:val="Harmonisation-a"/>
        <w:numPr>
          <w:ilvl w:val="0"/>
          <w:numId w:val="18"/>
        </w:numPr>
        <w:ind w:left="1276" w:hanging="425"/>
        <w:rPr>
          <w:rStyle w:val="Aucun"/>
          <w:lang w:val="fr-CA"/>
        </w:rPr>
      </w:pPr>
      <w:r w:rsidRPr="00436720">
        <w:rPr>
          <w:rStyle w:val="Aucun"/>
          <w:lang w:val="fr-CA"/>
        </w:rPr>
        <w:t>les motifs pour lesquels la décision attaquée devrait être révisée, annulée ou maintenue;</w:t>
      </w:r>
    </w:p>
    <w:p w14:paraId="1F844E98" w14:textId="07EBC353" w:rsidR="00FE1AF5" w:rsidRPr="00FE1AF5" w:rsidRDefault="00B42097" w:rsidP="00F225DA">
      <w:pPr>
        <w:pStyle w:val="Harmonisation-a"/>
        <w:numPr>
          <w:ilvl w:val="0"/>
          <w:numId w:val="18"/>
        </w:numPr>
        <w:ind w:left="1276" w:hanging="425"/>
        <w:rPr>
          <w:rStyle w:val="Aucun"/>
          <w:lang w:val="fr-CA"/>
        </w:rPr>
      </w:pPr>
      <w:r w:rsidRPr="00436720">
        <w:rPr>
          <w:rStyle w:val="Aucun"/>
          <w:lang w:val="fr-CA"/>
        </w:rPr>
        <w:t xml:space="preserve">une liste des </w:t>
      </w:r>
      <w:r w:rsidR="00603CFC">
        <w:rPr>
          <w:rStyle w:val="Aucun"/>
          <w:lang w:val="fr-CA"/>
        </w:rPr>
        <w:t>sources</w:t>
      </w:r>
      <w:r w:rsidR="00603CFC" w:rsidRPr="00436720">
        <w:rPr>
          <w:rStyle w:val="Aucun"/>
          <w:lang w:val="fr-CA"/>
        </w:rPr>
        <w:t xml:space="preserve"> </w:t>
      </w:r>
      <w:r w:rsidRPr="00436720">
        <w:rPr>
          <w:rStyle w:val="Aucun"/>
          <w:lang w:val="fr-CA"/>
        </w:rPr>
        <w:t>pertinentes.</w:t>
      </w:r>
    </w:p>
    <w:p w14:paraId="31C7D7D0" w14:textId="77777777" w:rsidR="00FE1AF5" w:rsidRDefault="00FE1AF5" w:rsidP="00073E0A">
      <w:pPr>
        <w:pStyle w:val="Harmonisation-titre2"/>
      </w:pPr>
      <w:bookmarkStart w:id="42" w:name="_Toc144299449"/>
      <w:bookmarkStart w:id="43" w:name="_Toc154072889"/>
      <w:r>
        <w:t>Demande pour autorisation de soins</w:t>
      </w:r>
      <w:bookmarkEnd w:id="42"/>
      <w:bookmarkEnd w:id="43"/>
    </w:p>
    <w:p w14:paraId="5AAF220C" w14:textId="77777777" w:rsidR="00FE1AF5" w:rsidRDefault="00FE1AF5" w:rsidP="005977BA">
      <w:pPr>
        <w:pStyle w:val="Harmonisation-paragraphe"/>
        <w:rPr>
          <w:rStyle w:val="Aucun"/>
          <w:lang w:val="fr-CA"/>
        </w:rPr>
      </w:pPr>
      <w:r>
        <w:rPr>
          <w:rStyle w:val="Aucun"/>
          <w:lang w:val="fr-CA"/>
        </w:rPr>
        <w:t>La personne concernée par une demande pour autorisation de soins doit être entendue en personne par le tribunal afin de recueillir ses observations ou son avis ou pour être interrogée, avant qu’une décision ne soit rendue, sous réserve des exceptions prévues à l’article 391 C.p.c.</w:t>
      </w:r>
    </w:p>
    <w:p w14:paraId="0BBA1E40" w14:textId="77777777" w:rsidR="00FE1AF5" w:rsidRPr="00595E60" w:rsidRDefault="00FE1AF5" w:rsidP="005977BA">
      <w:pPr>
        <w:pStyle w:val="Harmonisation-paragraphe"/>
        <w:rPr>
          <w:rStyle w:val="Aucun"/>
          <w:lang w:val="fr-CA"/>
        </w:rPr>
      </w:pPr>
      <w:r w:rsidRPr="00595E60">
        <w:rPr>
          <w:rStyle w:val="Aucun"/>
          <w:lang w:val="fr-CA"/>
        </w:rPr>
        <w:t>Les autres témoins doivent également être entendus en personne, à moins que le tribunal en décide autrement et aux conditions qu’il détermine, dont celles portant sur l’endroit d’où le témoin témoignera et le respect du décorum.</w:t>
      </w:r>
    </w:p>
    <w:p w14:paraId="7E272256" w14:textId="77777777" w:rsidR="00FE1AF5" w:rsidRPr="00595E60" w:rsidRDefault="00FE1AF5" w:rsidP="005977BA">
      <w:pPr>
        <w:pStyle w:val="Harmonisation-paragraphe"/>
        <w:rPr>
          <w:rStyle w:val="Aucun"/>
          <w:lang w:val="fr-CA"/>
        </w:rPr>
      </w:pPr>
      <w:r w:rsidRPr="00595E60">
        <w:rPr>
          <w:rStyle w:val="Aucun"/>
          <w:lang w:val="fr-CA"/>
        </w:rPr>
        <w:t>De manière exceptionnelle, le tribunal peut autoriser la personne concernée à procéder à distance</w:t>
      </w:r>
      <w:r>
        <w:rPr>
          <w:rStyle w:val="Aucun"/>
          <w:lang w:val="fr-CA"/>
        </w:rPr>
        <w:t>,</w:t>
      </w:r>
      <w:r w:rsidRPr="00595E60">
        <w:rPr>
          <w:rStyle w:val="Aucun"/>
          <w:lang w:val="fr-CA"/>
        </w:rPr>
        <w:t xml:space="preserve"> si elle-même en </w:t>
      </w:r>
      <w:r>
        <w:rPr>
          <w:rStyle w:val="Aucun"/>
          <w:lang w:val="fr-CA"/>
        </w:rPr>
        <w:t>fait</w:t>
      </w:r>
      <w:r w:rsidRPr="00595E60">
        <w:rPr>
          <w:rStyle w:val="Aucun"/>
          <w:lang w:val="fr-CA"/>
        </w:rPr>
        <w:t xml:space="preserve"> la demande dûment motivée ou s’il est démontré que sa présence devant le tribunal pourrait être nuisible à sa santé ou sa sécurité, ou à celle d’autrui.</w:t>
      </w:r>
    </w:p>
    <w:p w14:paraId="3E5D3A13" w14:textId="77777777" w:rsidR="00FE1AF5" w:rsidRPr="00595E60" w:rsidRDefault="00FE1AF5" w:rsidP="005977BA">
      <w:pPr>
        <w:pStyle w:val="Harmonisation-paragraphe"/>
        <w:rPr>
          <w:rStyle w:val="Aucun"/>
          <w:lang w:val="fr-CA"/>
        </w:rPr>
      </w:pPr>
      <w:r w:rsidRPr="00595E60">
        <w:rPr>
          <w:rStyle w:val="Aucun"/>
          <w:lang w:val="fr-CA"/>
        </w:rPr>
        <w:lastRenderedPageBreak/>
        <w:t>Afin que le tribunal autorise la personne concernée à procéder à distance, il devra être aussi démontré :</w:t>
      </w:r>
    </w:p>
    <w:p w14:paraId="1989B60F" w14:textId="77777777" w:rsidR="00FE1AF5" w:rsidRPr="00595E60" w:rsidRDefault="00FE1AF5" w:rsidP="00FE1AF5">
      <w:pPr>
        <w:pStyle w:val="Harmonisation-a"/>
        <w:numPr>
          <w:ilvl w:val="0"/>
          <w:numId w:val="11"/>
        </w:numPr>
        <w:ind w:left="1276" w:hanging="425"/>
        <w:rPr>
          <w:rStyle w:val="Aucun"/>
          <w:lang w:val="fr-CA"/>
        </w:rPr>
      </w:pPr>
      <w:r w:rsidRPr="00595E60">
        <w:rPr>
          <w:rStyle w:val="Aucun"/>
          <w:lang w:val="fr-CA"/>
        </w:rPr>
        <w:t>qu’une salle dédiée permettant de répondre au décorum et à la confidentialité requise sera mise à la disposition de la personne concernée pendant toute la durée de l’audience virtuelle;</w:t>
      </w:r>
    </w:p>
    <w:p w14:paraId="531A180B" w14:textId="77777777" w:rsidR="00FE1AF5" w:rsidRPr="00595E60" w:rsidRDefault="00FE1AF5" w:rsidP="00FE1AF5">
      <w:pPr>
        <w:pStyle w:val="Harmonisation-a"/>
        <w:numPr>
          <w:ilvl w:val="0"/>
          <w:numId w:val="11"/>
        </w:numPr>
        <w:ind w:left="1276" w:hanging="425"/>
        <w:rPr>
          <w:rStyle w:val="Aucun"/>
          <w:lang w:val="fr-CA"/>
        </w:rPr>
      </w:pPr>
      <w:r w:rsidRPr="00595E60">
        <w:rPr>
          <w:rStyle w:val="Aucun"/>
          <w:lang w:val="fr-CA"/>
        </w:rPr>
        <w:t>que de l’équipement audiovisuel de qualité et fonctionnel sera mis à la disposition de la personne concernée pendant toute la durée de l’audience virtuelle;</w:t>
      </w:r>
    </w:p>
    <w:p w14:paraId="2B19397C" w14:textId="77777777" w:rsidR="00FE1AF5" w:rsidRPr="00595E60" w:rsidRDefault="00FE1AF5" w:rsidP="00FE1AF5">
      <w:pPr>
        <w:pStyle w:val="Harmonisation-a"/>
        <w:numPr>
          <w:ilvl w:val="0"/>
          <w:numId w:val="11"/>
        </w:numPr>
        <w:ind w:left="1276" w:hanging="425"/>
        <w:rPr>
          <w:rStyle w:val="Aucun"/>
          <w:lang w:val="fr-CA"/>
        </w:rPr>
      </w:pPr>
      <w:r w:rsidRPr="00595E60">
        <w:rPr>
          <w:rStyle w:val="Aucun"/>
          <w:lang w:val="fr-CA"/>
        </w:rPr>
        <w:t>que l’équipe de soins s’assurera, de manière contemporaine à l’audience, que les symptômes liés à la santé mentale de la personne concernée lui permettent de participer efficacement à une audience virtuelle;</w:t>
      </w:r>
    </w:p>
    <w:p w14:paraId="01BF1B93" w14:textId="77777777" w:rsidR="00FE1AF5" w:rsidRPr="00595E60" w:rsidRDefault="00FE1AF5" w:rsidP="00FE1AF5">
      <w:pPr>
        <w:pStyle w:val="Harmonisation-a"/>
        <w:numPr>
          <w:ilvl w:val="0"/>
          <w:numId w:val="11"/>
        </w:numPr>
        <w:ind w:left="1276" w:hanging="425"/>
        <w:rPr>
          <w:rStyle w:val="Aucun"/>
          <w:lang w:val="fr-CA"/>
        </w:rPr>
      </w:pPr>
      <w:r w:rsidRPr="00595E60">
        <w:rPr>
          <w:rStyle w:val="Aucun"/>
          <w:lang w:val="fr-CA"/>
        </w:rPr>
        <w:t>que le droit à la dignité de la personne concernée sera respecté en tout temps pendant l’audience virtuelle et qu’elle sera notamment vêtue convenablement;</w:t>
      </w:r>
    </w:p>
    <w:p w14:paraId="1B917B7F" w14:textId="77777777" w:rsidR="00FE1AF5" w:rsidRPr="00595E60" w:rsidRDefault="00FE1AF5" w:rsidP="00FE1AF5">
      <w:pPr>
        <w:pStyle w:val="Harmonisation-a"/>
        <w:numPr>
          <w:ilvl w:val="0"/>
          <w:numId w:val="11"/>
        </w:numPr>
        <w:ind w:left="1276" w:hanging="425"/>
        <w:rPr>
          <w:rStyle w:val="Aucun"/>
          <w:lang w:val="fr-CA"/>
        </w:rPr>
      </w:pPr>
      <w:r w:rsidRPr="00595E60">
        <w:rPr>
          <w:rStyle w:val="Aucun"/>
          <w:lang w:val="fr-CA"/>
        </w:rPr>
        <w:t>qu’à moins de circonstances exceptionnelles, l’avocat de la personne concernée, si elle est représentée, participera à l’audience virtuelle aux côtés de son client ou de sa cliente.</w:t>
      </w:r>
    </w:p>
    <w:p w14:paraId="28FE23AB" w14:textId="4E2D9BE0" w:rsidR="00FE1AF5" w:rsidRPr="005977BA" w:rsidRDefault="001624B1" w:rsidP="005977BA">
      <w:pPr>
        <w:pStyle w:val="Modif"/>
        <w:rPr>
          <w:rStyle w:val="ModifCar"/>
          <w:b/>
          <w:bCs/>
          <w:i/>
          <w:iCs/>
        </w:rPr>
      </w:pPr>
      <w:r w:rsidRPr="005977BA">
        <w:t xml:space="preserve">Modification : </w:t>
      </w:r>
      <w:r w:rsidR="00E44CBC">
        <w:t>1</w:t>
      </w:r>
      <w:r w:rsidR="00E44CBC" w:rsidRPr="00E44CBC">
        <w:rPr>
          <w:rFonts w:ascii="Arial Gras" w:hAnsi="Arial Gras"/>
          <w:vertAlign w:val="superscript"/>
        </w:rPr>
        <w:t>er</w:t>
      </w:r>
      <w:r w:rsidR="005977BA" w:rsidRPr="005977BA">
        <w:t xml:space="preserve"> </w:t>
      </w:r>
      <w:r w:rsidRPr="005977BA">
        <w:t>septembre 2023, ajout de 60 à 63</w:t>
      </w:r>
    </w:p>
    <w:p w14:paraId="2436A78D" w14:textId="77777777" w:rsidR="00DF6075" w:rsidRDefault="00DD58B5" w:rsidP="00073E0A">
      <w:pPr>
        <w:pStyle w:val="Harmonisation-titre2"/>
      </w:pPr>
      <w:bookmarkStart w:id="44" w:name="_Toc154072890"/>
      <w:r>
        <w:t>Instances jointes</w:t>
      </w:r>
      <w:bookmarkEnd w:id="44"/>
    </w:p>
    <w:p w14:paraId="5FC68D7C" w14:textId="69120735" w:rsidR="004F37B8" w:rsidRDefault="004F37B8" w:rsidP="005977BA">
      <w:pPr>
        <w:pStyle w:val="Harmonisation-paragraphe"/>
        <w:rPr>
          <w:rStyle w:val="Aucun"/>
          <w:lang w:val="fr-CA"/>
        </w:rPr>
      </w:pPr>
      <w:bookmarkStart w:id="45" w:name="_Toc97"/>
      <w:r w:rsidRPr="004F37B8">
        <w:rPr>
          <w:rStyle w:val="Aucun"/>
          <w:lang w:val="fr-CA"/>
        </w:rPr>
        <w:t>Même jointe</w:t>
      </w:r>
      <w:r w:rsidR="00A43B9B">
        <w:rPr>
          <w:rStyle w:val="Aucun"/>
          <w:lang w:val="fr-CA"/>
        </w:rPr>
        <w:t>s</w:t>
      </w:r>
      <w:r w:rsidRPr="004F37B8">
        <w:rPr>
          <w:rStyle w:val="Aucun"/>
          <w:lang w:val="fr-CA"/>
        </w:rPr>
        <w:t xml:space="preserve"> selon l’article 210</w:t>
      </w:r>
      <w:r>
        <w:rPr>
          <w:rStyle w:val="Aucun"/>
          <w:lang w:val="fr-CA"/>
        </w:rPr>
        <w:t> </w:t>
      </w:r>
      <w:r w:rsidRPr="004F37B8">
        <w:rPr>
          <w:rStyle w:val="Aucun"/>
          <w:lang w:val="fr-CA"/>
        </w:rPr>
        <w:t>C.p.c., chacune des instances réunies demeure distincte.</w:t>
      </w:r>
      <w:bookmarkEnd w:id="45"/>
    </w:p>
    <w:p w14:paraId="5F2EAFE7" w14:textId="77777777" w:rsidR="00AF0E32" w:rsidRDefault="00CE2CAA" w:rsidP="005977BA">
      <w:pPr>
        <w:pStyle w:val="Harmonisation-paragraphe"/>
        <w:rPr>
          <w:rStyle w:val="Aucun"/>
          <w:lang w:val="fr-CA"/>
        </w:rPr>
      </w:pPr>
      <w:bookmarkStart w:id="46" w:name="_Toc98"/>
      <w:r w:rsidRPr="00CE2CAA">
        <w:rPr>
          <w:rStyle w:val="Aucun"/>
          <w:lang w:val="fr-CA"/>
        </w:rPr>
        <w:t>Les parties doivent déposer au greffe un exemplaire des actes de procédure dans chacune des instances jointes.</w:t>
      </w:r>
      <w:bookmarkEnd w:id="46"/>
    </w:p>
    <w:p w14:paraId="1D1F134D" w14:textId="77777777" w:rsidR="00CE2CAA" w:rsidRDefault="00CE2CAA" w:rsidP="005977BA">
      <w:pPr>
        <w:pStyle w:val="Harmonisation-paragraphe"/>
        <w:rPr>
          <w:rStyle w:val="Aucun"/>
          <w:lang w:val="fr-CA"/>
        </w:rPr>
      </w:pPr>
      <w:r w:rsidRPr="00CE2CAA">
        <w:rPr>
          <w:rStyle w:val="Aucun"/>
          <w:lang w:val="fr-CA"/>
        </w:rPr>
        <w:t>À défaut de ce faire, le greffe ne captera au plumitif que le premier entête apparaissant à l’acte de procédure qui sera uniquement déposé dans ce dossier. Le tribunal ne traitera que l’instance où l’acte de procédure a été versé</w:t>
      </w:r>
      <w:r>
        <w:rPr>
          <w:rStyle w:val="Aucun"/>
          <w:lang w:val="fr-CA"/>
        </w:rPr>
        <w:t>.</w:t>
      </w:r>
    </w:p>
    <w:p w14:paraId="4C343768" w14:textId="77777777" w:rsidR="00D01094" w:rsidRDefault="00D01094" w:rsidP="005977BA">
      <w:pPr>
        <w:pStyle w:val="Harmonisation-paragraphe"/>
        <w:rPr>
          <w:rStyle w:val="Aucun"/>
          <w:lang w:val="fr-CA"/>
        </w:rPr>
      </w:pPr>
      <w:r w:rsidRPr="00D01094">
        <w:rPr>
          <w:rStyle w:val="Aucun"/>
          <w:lang w:val="fr-CA"/>
        </w:rPr>
        <w:t>Lorsque requis, les parties doivent payer les frais de justice dans chacun des dossiers (</w:t>
      </w:r>
      <w:r w:rsidR="005A5B19">
        <w:rPr>
          <w:rStyle w:val="Aucun"/>
          <w:lang w:val="fr-CA"/>
        </w:rPr>
        <w:t>c.-à-d.</w:t>
      </w:r>
      <w:r w:rsidRPr="00D01094">
        <w:rPr>
          <w:rStyle w:val="Aucun"/>
          <w:lang w:val="fr-CA"/>
        </w:rPr>
        <w:t xml:space="preserve"> le timbre des demandes d’inscription payable pour chacune des instances jointes).</w:t>
      </w:r>
    </w:p>
    <w:p w14:paraId="0A3E60BC" w14:textId="29DF2618" w:rsidR="004C04F5" w:rsidRDefault="004C04F5" w:rsidP="005977BA">
      <w:pPr>
        <w:pStyle w:val="Harmonisation-paragraphe"/>
        <w:rPr>
          <w:rStyle w:val="Aucun"/>
          <w:lang w:val="fr-CA"/>
        </w:rPr>
      </w:pPr>
      <w:bookmarkStart w:id="47" w:name="_Toc101"/>
      <w:r w:rsidRPr="004C04F5">
        <w:rPr>
          <w:rStyle w:val="Aucun"/>
          <w:lang w:val="fr-CA"/>
        </w:rPr>
        <w:t xml:space="preserve">Si une demande d’inscription </w:t>
      </w:r>
      <w:r w:rsidR="006D0272">
        <w:rPr>
          <w:rStyle w:val="Aucun"/>
          <w:lang w:val="fr-CA"/>
        </w:rPr>
        <w:t xml:space="preserve">pour instruction et jugement </w:t>
      </w:r>
      <w:r w:rsidRPr="004C04F5">
        <w:rPr>
          <w:rStyle w:val="Aucun"/>
          <w:lang w:val="fr-CA"/>
        </w:rPr>
        <w:t>n’est régulièrement produite que dans une seule instance, la sanction de l’article 177 C.p.c. s’applique aux autres instances jointes.</w:t>
      </w:r>
      <w:bookmarkEnd w:id="47"/>
    </w:p>
    <w:p w14:paraId="1611B882" w14:textId="77777777" w:rsidR="00896AF7" w:rsidRDefault="00896AF7" w:rsidP="005977BA">
      <w:pPr>
        <w:pStyle w:val="Harmonisation-paragraphe"/>
        <w:rPr>
          <w:rStyle w:val="Aucun"/>
          <w:lang w:val="fr-CA"/>
        </w:rPr>
      </w:pPr>
      <w:r>
        <w:rPr>
          <w:rStyle w:val="Aucun"/>
          <w:lang w:val="fr-CA"/>
        </w:rPr>
        <w:t xml:space="preserve">Si des dossiers sont joints après qu’une demande d’inscription pour instruction et jugement ait été déposée dans l’un d’eux, une demande </w:t>
      </w:r>
      <w:r>
        <w:rPr>
          <w:rStyle w:val="Aucun"/>
          <w:lang w:val="fr-CA"/>
        </w:rPr>
        <w:lastRenderedPageBreak/>
        <w:t>d’inscription dans chacun des autres dossiers join</w:t>
      </w:r>
      <w:r w:rsidR="005A5B19">
        <w:rPr>
          <w:rStyle w:val="Aucun"/>
          <w:lang w:val="fr-CA"/>
        </w:rPr>
        <w:t>t</w:t>
      </w:r>
      <w:r>
        <w:rPr>
          <w:rStyle w:val="Aucun"/>
          <w:lang w:val="fr-CA"/>
        </w:rPr>
        <w:t>s doit être déposée dans le délai déterminé par le tribunal.</w:t>
      </w:r>
    </w:p>
    <w:p w14:paraId="40E00D25" w14:textId="77777777" w:rsidR="00322E18" w:rsidRDefault="00930C62" w:rsidP="00073E0A">
      <w:pPr>
        <w:pStyle w:val="Harmonisation-titre2"/>
      </w:pPr>
      <w:bookmarkStart w:id="48" w:name="_Toc88053903"/>
      <w:bookmarkStart w:id="49" w:name="_Toc154072891"/>
      <w:r>
        <w:t>Outrage au tribunal</w:t>
      </w:r>
      <w:bookmarkEnd w:id="48"/>
      <w:bookmarkEnd w:id="49"/>
    </w:p>
    <w:p w14:paraId="6E652DF0" w14:textId="3329FB96" w:rsidR="00DA2F1B" w:rsidRPr="002E0B07" w:rsidRDefault="00DA2F1B" w:rsidP="005977BA">
      <w:pPr>
        <w:pStyle w:val="Harmonisation-paragraphe"/>
        <w:rPr>
          <w:rStyle w:val="Aucun"/>
          <w:lang w:val="fr-CA"/>
        </w:rPr>
      </w:pPr>
      <w:r w:rsidRPr="002E0B07">
        <w:rPr>
          <w:rStyle w:val="Aucun"/>
          <w:lang w:val="fr-CA"/>
        </w:rPr>
        <w:t xml:space="preserve">Tout acte de procédure requérant une citation pour outrage doit être accompagné d’un projet d’ordonnance </w:t>
      </w:r>
      <w:r w:rsidR="00DC724B" w:rsidRPr="002E0B07">
        <w:rPr>
          <w:rStyle w:val="Aucun"/>
          <w:lang w:val="fr-CA"/>
        </w:rPr>
        <w:t>(</w:t>
      </w:r>
      <w:hyperlink r:id="rId27" w:history="1">
        <w:r w:rsidRPr="005D3804">
          <w:rPr>
            <w:rStyle w:val="Lienhypertexte"/>
          </w:rPr>
          <w:t>annexe</w:t>
        </w:r>
        <w:r w:rsidR="005D3804" w:rsidRPr="005D3804">
          <w:rPr>
            <w:rStyle w:val="Lienhypertexte"/>
          </w:rPr>
          <w:t xml:space="preserve"> Division</w:t>
        </w:r>
        <w:r w:rsidRPr="005D3804">
          <w:rPr>
            <w:rStyle w:val="Lienhypertexte"/>
          </w:rPr>
          <w:t xml:space="preserve"> </w:t>
        </w:r>
        <w:r w:rsidR="004053B2" w:rsidRPr="005D3804">
          <w:rPr>
            <w:rStyle w:val="Lienhypertexte"/>
          </w:rPr>
          <w:t>5</w:t>
        </w:r>
      </w:hyperlink>
      <w:r w:rsidR="004053B2" w:rsidRPr="002E0B07">
        <w:rPr>
          <w:rStyle w:val="Aucun"/>
          <w:lang w:val="fr-CA"/>
        </w:rPr>
        <w:t>).</w:t>
      </w:r>
    </w:p>
    <w:p w14:paraId="3AA046CD" w14:textId="77777777" w:rsidR="000C4E40" w:rsidRPr="002E0B07" w:rsidRDefault="000C4E40" w:rsidP="005977BA">
      <w:pPr>
        <w:pStyle w:val="Harmonisation-paragraphe"/>
        <w:rPr>
          <w:rStyle w:val="Aucun"/>
          <w:lang w:val="fr-CA"/>
        </w:rPr>
      </w:pPr>
      <w:bookmarkStart w:id="50" w:name="_Toc108"/>
      <w:r w:rsidRPr="002E0B07">
        <w:rPr>
          <w:rStyle w:val="Aucun"/>
          <w:lang w:val="fr-CA"/>
        </w:rPr>
        <w:t>Le projet d’ordonnance doit énumérer avec précision la nature de l’infraction reprochée, les faits qui supportent la demande et préciser si la personne visée est passible d'une ou plusieurs peines.</w:t>
      </w:r>
      <w:bookmarkEnd w:id="50"/>
      <w:r w:rsidRPr="002E0B07">
        <w:rPr>
          <w:rStyle w:val="Aucun"/>
          <w:lang w:val="fr-CA"/>
        </w:rPr>
        <w:t xml:space="preserve"> Ce projet doit être soumis dans une forme permettant d’être signé comme un jugement du tribunal.</w:t>
      </w:r>
    </w:p>
    <w:p w14:paraId="31C8EEA1" w14:textId="32AF6F30" w:rsidR="00842D6B" w:rsidRPr="002E0B07" w:rsidRDefault="00842D6B" w:rsidP="005977BA">
      <w:pPr>
        <w:pStyle w:val="Harmonisation-paragraphe"/>
        <w:rPr>
          <w:rStyle w:val="Aucun"/>
          <w:lang w:val="fr-CA"/>
        </w:rPr>
      </w:pPr>
      <w:bookmarkStart w:id="51" w:name="_Toc109"/>
      <w:r w:rsidRPr="002E0B07">
        <w:rPr>
          <w:rStyle w:val="Aucun"/>
          <w:lang w:val="fr-CA"/>
        </w:rPr>
        <w:t xml:space="preserve">Dans la mesure où l'ordonnance de comparaître émane d'office du tribunal, celui-ci consigne, au procès-verbal ou dans une ordonnance écrite, les mêmes informations que celles que l'on doit retrouver </w:t>
      </w:r>
      <w:r w:rsidR="00A954E8">
        <w:rPr>
          <w:rStyle w:val="Aucun"/>
          <w:lang w:val="fr-CA"/>
        </w:rPr>
        <w:t xml:space="preserve">dans un projet d’ordonnance soumis par une partie en vertu de l’article </w:t>
      </w:r>
      <w:r w:rsidR="0074466F">
        <w:rPr>
          <w:rStyle w:val="Aucun"/>
          <w:lang w:val="fr-CA"/>
        </w:rPr>
        <w:t>70</w:t>
      </w:r>
      <w:r w:rsidRPr="002E0B07">
        <w:rPr>
          <w:rStyle w:val="Aucun"/>
          <w:lang w:val="fr-CA"/>
        </w:rPr>
        <w:t>.</w:t>
      </w:r>
      <w:bookmarkEnd w:id="51"/>
    </w:p>
    <w:p w14:paraId="04776D42" w14:textId="77777777" w:rsidR="00842D6B" w:rsidRPr="002E0B07" w:rsidRDefault="00BC3E08" w:rsidP="00073E0A">
      <w:pPr>
        <w:pStyle w:val="Harmonisation-titre2"/>
      </w:pPr>
      <w:bookmarkStart w:id="52" w:name="_Toc88053904"/>
      <w:bookmarkStart w:id="53" w:name="_Toc154072892"/>
      <w:r w:rsidRPr="002E0B07">
        <w:t>Mise en état du dossier</w:t>
      </w:r>
      <w:bookmarkEnd w:id="52"/>
      <w:bookmarkEnd w:id="53"/>
    </w:p>
    <w:p w14:paraId="74A73D7D" w14:textId="66728AC3" w:rsidR="00BC3E08" w:rsidRPr="00BE461D" w:rsidRDefault="00BC3E08" w:rsidP="005977BA">
      <w:pPr>
        <w:pStyle w:val="Harmonisation-paragraphe"/>
        <w:rPr>
          <w:rStyle w:val="Aucun"/>
          <w:lang w:val="fr-CA"/>
        </w:rPr>
      </w:pPr>
      <w:bookmarkStart w:id="54" w:name="_Toc116"/>
      <w:r w:rsidRPr="00BE461D">
        <w:rPr>
          <w:rStyle w:val="Aucun"/>
          <w:lang w:val="fr-CA"/>
        </w:rPr>
        <w:t xml:space="preserve">La demande d’inscription pour instruction et jugement (art. 174 C.p.c.) se fait obligatoirement au moyen du formulaire prévu à cette fin (matière civile – </w:t>
      </w:r>
      <w:hyperlink r:id="rId28" w:history="1">
        <w:r w:rsidRPr="005D3804">
          <w:rPr>
            <w:rStyle w:val="Lienhypertexte"/>
          </w:rPr>
          <w:t xml:space="preserve">annexe </w:t>
        </w:r>
        <w:r w:rsidR="005D3804" w:rsidRPr="005D3804">
          <w:rPr>
            <w:rStyle w:val="Lienhypertexte"/>
          </w:rPr>
          <w:t xml:space="preserve">Division </w:t>
        </w:r>
        <w:r w:rsidR="004053B2" w:rsidRPr="005D3804">
          <w:rPr>
            <w:rStyle w:val="Lienhypertexte"/>
          </w:rPr>
          <w:t>6</w:t>
        </w:r>
      </w:hyperlink>
      <w:r w:rsidR="004053B2" w:rsidRPr="00BE461D">
        <w:rPr>
          <w:rStyle w:val="Aucun"/>
          <w:lang w:val="fr-CA"/>
        </w:rPr>
        <w:t xml:space="preserve">; </w:t>
      </w:r>
      <w:r w:rsidRPr="00BE461D">
        <w:rPr>
          <w:rStyle w:val="Aucun"/>
          <w:lang w:val="fr-CA"/>
        </w:rPr>
        <w:t xml:space="preserve">matière familiale – </w:t>
      </w:r>
      <w:hyperlink r:id="rId29" w:history="1">
        <w:r w:rsidRPr="005D3804">
          <w:rPr>
            <w:rStyle w:val="Lienhypertexte"/>
          </w:rPr>
          <w:t>annexe</w:t>
        </w:r>
        <w:r w:rsidR="00E80124" w:rsidRPr="005D3804">
          <w:rPr>
            <w:rStyle w:val="Lienhypertexte"/>
          </w:rPr>
          <w:t xml:space="preserve"> </w:t>
        </w:r>
        <w:r w:rsidR="005D3804" w:rsidRPr="005D3804">
          <w:rPr>
            <w:rStyle w:val="Lienhypertexte"/>
          </w:rPr>
          <w:t xml:space="preserve">Division </w:t>
        </w:r>
        <w:r w:rsidR="004053B2" w:rsidRPr="005D3804">
          <w:rPr>
            <w:rStyle w:val="Lienhypertexte"/>
          </w:rPr>
          <w:t>7</w:t>
        </w:r>
      </w:hyperlink>
      <w:r w:rsidR="004053B2" w:rsidRPr="00BE461D">
        <w:rPr>
          <w:rStyle w:val="Aucun"/>
          <w:lang w:val="fr-CA"/>
        </w:rPr>
        <w:t xml:space="preserve">). </w:t>
      </w:r>
      <w:r w:rsidRPr="00BE461D">
        <w:rPr>
          <w:rStyle w:val="Aucun"/>
          <w:lang w:val="fr-CA"/>
        </w:rPr>
        <w:t>Le dépôt doit être accompagné du paiement des frais de justice y afférents.</w:t>
      </w:r>
      <w:bookmarkEnd w:id="54"/>
    </w:p>
    <w:p w14:paraId="4EEECD4F" w14:textId="3D2A0E95" w:rsidR="006E7CD4" w:rsidRDefault="006E7CD4" w:rsidP="005977BA">
      <w:pPr>
        <w:pStyle w:val="Harmonisation-paragraphe"/>
        <w:rPr>
          <w:rStyle w:val="Aucun"/>
          <w:lang w:val="fr-CA"/>
        </w:rPr>
      </w:pPr>
      <w:r w:rsidRPr="002E0B07">
        <w:rPr>
          <w:rStyle w:val="Aucun"/>
          <w:lang w:val="fr-CA"/>
        </w:rPr>
        <w:t>Dans les autres cas (art. 141</w:t>
      </w:r>
      <w:r w:rsidR="00A43B9B">
        <w:rPr>
          <w:rStyle w:val="Aucun"/>
          <w:lang w:val="fr-CA"/>
        </w:rPr>
        <w:t xml:space="preserve"> al. </w:t>
      </w:r>
      <w:r w:rsidRPr="002E0B07">
        <w:rPr>
          <w:rStyle w:val="Aucun"/>
          <w:lang w:val="fr-CA"/>
        </w:rPr>
        <w:t>2 C.p.c., art. 154 C.p.c., art. 20</w:t>
      </w:r>
      <w:r w:rsidR="00A43B9B">
        <w:rPr>
          <w:rStyle w:val="Aucun"/>
          <w:lang w:val="fr-CA"/>
        </w:rPr>
        <w:t>(</w:t>
      </w:r>
      <w:r w:rsidRPr="002E0B07">
        <w:rPr>
          <w:rStyle w:val="Aucun"/>
          <w:lang w:val="fr-CA"/>
        </w:rPr>
        <w:t xml:space="preserve">b)iii) </w:t>
      </w:r>
      <w:r w:rsidR="00766341">
        <w:rPr>
          <w:rStyle w:val="Aucun"/>
          <w:lang w:val="fr-CA"/>
        </w:rPr>
        <w:t xml:space="preserve">du </w:t>
      </w:r>
      <w:hyperlink r:id="rId30" w:history="1">
        <w:r w:rsidR="005F2FB7" w:rsidRPr="00BB10B3">
          <w:rPr>
            <w:rStyle w:val="Lienhypertexte"/>
            <w:i/>
          </w:rPr>
          <w:t>Règlement de la Cour supérieure du Québec en matière civile</w:t>
        </w:r>
      </w:hyperlink>
      <w:r w:rsidRPr="002E0B07">
        <w:rPr>
          <w:rStyle w:val="Aucun"/>
          <w:iCs/>
          <w:lang w:val="fr-CA"/>
        </w:rPr>
        <w:t>)</w:t>
      </w:r>
      <w:r w:rsidRPr="002E0B07">
        <w:rPr>
          <w:rStyle w:val="Aucun"/>
          <w:lang w:val="fr-CA"/>
        </w:rPr>
        <w:t>, les parties doivent déposer au greffe une déclaration commune pour fixation d’une audience</w:t>
      </w:r>
      <w:r w:rsidR="002F493B" w:rsidRPr="002E0B07">
        <w:rPr>
          <w:rStyle w:val="Aucun"/>
          <w:lang w:val="fr-CA"/>
        </w:rPr>
        <w:t xml:space="preserve"> (</w:t>
      </w:r>
      <w:hyperlink r:id="rId31" w:history="1">
        <w:r w:rsidR="004802DC" w:rsidRPr="005D3804">
          <w:rPr>
            <w:rStyle w:val="Lienhypertexte"/>
          </w:rPr>
          <w:t>annexe</w:t>
        </w:r>
        <w:r w:rsidR="005D3804" w:rsidRPr="005D3804">
          <w:rPr>
            <w:rStyle w:val="Lienhypertexte"/>
          </w:rPr>
          <w:t xml:space="preserve"> Division</w:t>
        </w:r>
        <w:r w:rsidR="004802DC" w:rsidRPr="005D3804">
          <w:rPr>
            <w:rStyle w:val="Lienhypertexte"/>
          </w:rPr>
          <w:t xml:space="preserve"> 4</w:t>
        </w:r>
      </w:hyperlink>
      <w:r w:rsidR="004053B2" w:rsidRPr="002E0B07">
        <w:rPr>
          <w:rStyle w:val="Aucun"/>
          <w:lang w:val="fr-CA"/>
        </w:rPr>
        <w:t>).</w:t>
      </w:r>
    </w:p>
    <w:p w14:paraId="3A4734EE" w14:textId="77777777" w:rsidR="008E4322" w:rsidRDefault="00AB6E6D" w:rsidP="00073E0A">
      <w:pPr>
        <w:pStyle w:val="Harmonisation-titre2"/>
        <w:rPr>
          <w:rStyle w:val="Aucun"/>
          <w:lang w:val="fr-CA"/>
        </w:rPr>
      </w:pPr>
      <w:bookmarkStart w:id="55" w:name="_Toc356658"/>
      <w:bookmarkStart w:id="56" w:name="_Toc362730"/>
      <w:bookmarkStart w:id="57" w:name="_Toc363131"/>
      <w:bookmarkStart w:id="58" w:name="_Toc423657"/>
      <w:bookmarkStart w:id="59" w:name="_Toc3236012"/>
      <w:bookmarkStart w:id="60" w:name="_Toc23156077"/>
      <w:bookmarkStart w:id="61" w:name="_Toc122"/>
      <w:bookmarkStart w:id="62" w:name="_Toc34044695"/>
      <w:bookmarkStart w:id="63" w:name="_Toc66365501"/>
      <w:bookmarkStart w:id="64" w:name="_Toc75783446"/>
      <w:bookmarkStart w:id="65" w:name="_Toc88053906"/>
      <w:bookmarkStart w:id="66" w:name="_Toc154072893"/>
      <w:r w:rsidRPr="00AB6E6D">
        <w:rPr>
          <w:rStyle w:val="Aucun"/>
          <w:lang w:val="fr-CA"/>
        </w:rPr>
        <w:t>Avis de dossier incomplet</w:t>
      </w:r>
      <w:bookmarkEnd w:id="55"/>
      <w:bookmarkEnd w:id="56"/>
      <w:bookmarkEnd w:id="57"/>
      <w:bookmarkEnd w:id="58"/>
      <w:bookmarkEnd w:id="59"/>
      <w:bookmarkEnd w:id="60"/>
      <w:r w:rsidRPr="00AB6E6D">
        <w:rPr>
          <w:rStyle w:val="Aucun"/>
          <w:lang w:val="fr-CA"/>
        </w:rPr>
        <w:t xml:space="preserve"> </w:t>
      </w:r>
      <w:bookmarkEnd w:id="61"/>
      <w:r w:rsidRPr="00AB6E6D">
        <w:rPr>
          <w:rStyle w:val="Aucun"/>
          <w:lang w:val="fr-CA"/>
        </w:rPr>
        <w:t>(ADI)</w:t>
      </w:r>
      <w:bookmarkEnd w:id="62"/>
      <w:bookmarkEnd w:id="63"/>
      <w:bookmarkEnd w:id="64"/>
      <w:bookmarkEnd w:id="65"/>
      <w:bookmarkEnd w:id="66"/>
    </w:p>
    <w:p w14:paraId="58C65125" w14:textId="117E4578" w:rsidR="00AB6E6D" w:rsidRDefault="00E97504" w:rsidP="005977BA">
      <w:pPr>
        <w:pStyle w:val="Harmonisation-paragraphe"/>
        <w:rPr>
          <w:rStyle w:val="Aucun"/>
          <w:lang w:val="fr-CA"/>
        </w:rPr>
      </w:pPr>
      <w:r w:rsidRPr="00E97504">
        <w:rPr>
          <w:rStyle w:val="Aucun"/>
          <w:lang w:val="fr-CA"/>
        </w:rPr>
        <w:t>Si</w:t>
      </w:r>
      <w:r>
        <w:rPr>
          <w:rStyle w:val="Aucun"/>
          <w:lang w:val="fr-CA"/>
        </w:rPr>
        <w:t xml:space="preserve"> </w:t>
      </w:r>
      <w:r w:rsidR="00766341">
        <w:rPr>
          <w:rStyle w:val="Aucun"/>
          <w:lang w:val="fr-CA"/>
        </w:rPr>
        <w:t xml:space="preserve">le dossier est incomplet </w:t>
      </w:r>
      <w:r>
        <w:rPr>
          <w:rStyle w:val="Aucun"/>
          <w:lang w:val="fr-CA"/>
        </w:rPr>
        <w:t>après</w:t>
      </w:r>
      <w:r w:rsidRPr="00E97504">
        <w:rPr>
          <w:rStyle w:val="Aucun"/>
          <w:lang w:val="fr-CA"/>
        </w:rPr>
        <w:t xml:space="preserve"> le dépôt de la demande d’inscription pour instruction </w:t>
      </w:r>
      <w:r w:rsidR="00865E43">
        <w:rPr>
          <w:rStyle w:val="Aucun"/>
          <w:lang w:val="fr-CA"/>
        </w:rPr>
        <w:t xml:space="preserve">et jugement </w:t>
      </w:r>
      <w:r w:rsidRPr="00E97504">
        <w:rPr>
          <w:rStyle w:val="Aucun"/>
          <w:lang w:val="fr-CA"/>
        </w:rPr>
        <w:t xml:space="preserve">suivant l’article 174 C.p.c., </w:t>
      </w:r>
      <w:r w:rsidR="00BF4675">
        <w:rPr>
          <w:rStyle w:val="Aucun"/>
          <w:lang w:val="fr-CA"/>
        </w:rPr>
        <w:t>les parties en sont avisées</w:t>
      </w:r>
      <w:r w:rsidR="00766341">
        <w:rPr>
          <w:rStyle w:val="Aucun"/>
          <w:lang w:val="fr-CA"/>
        </w:rPr>
        <w:t xml:space="preserve"> et disposent alors de </w:t>
      </w:r>
      <w:r w:rsidR="00766341" w:rsidRPr="00C33204">
        <w:rPr>
          <w:rStyle w:val="Aucun"/>
          <w:lang w:val="fr-CA"/>
        </w:rPr>
        <w:t>30 jours pour y remédier, à défaut de quoi elles s’exposent à ce que le dossier retourne aux archives, sans autre avis</w:t>
      </w:r>
      <w:r w:rsidR="00BE461D" w:rsidRPr="00BE461D">
        <w:rPr>
          <w:rStyle w:val="Aucun"/>
          <w:lang w:val="fr-CA"/>
        </w:rPr>
        <w:t xml:space="preserve"> </w:t>
      </w:r>
      <w:r w:rsidR="00BE461D" w:rsidRPr="00C33204">
        <w:rPr>
          <w:rStyle w:val="Aucun"/>
          <w:lang w:val="fr-CA"/>
        </w:rPr>
        <w:t>(art. 21</w:t>
      </w:r>
      <w:r w:rsidR="00A43B9B">
        <w:rPr>
          <w:rStyle w:val="Aucun"/>
          <w:lang w:val="fr-CA"/>
        </w:rPr>
        <w:t>(</w:t>
      </w:r>
      <w:r w:rsidR="00BE461D" w:rsidRPr="00C33204">
        <w:rPr>
          <w:rStyle w:val="Aucun"/>
          <w:lang w:val="fr-CA"/>
        </w:rPr>
        <w:t xml:space="preserve">b) </w:t>
      </w:r>
      <w:r w:rsidR="00BE461D">
        <w:rPr>
          <w:rStyle w:val="Aucun"/>
          <w:iCs/>
          <w:lang w:val="fr-CA"/>
        </w:rPr>
        <w:t xml:space="preserve">du </w:t>
      </w:r>
      <w:hyperlink r:id="rId32" w:history="1">
        <w:r w:rsidR="005F2FB7" w:rsidRPr="00BB10B3">
          <w:rPr>
            <w:rStyle w:val="Lienhypertexte"/>
            <w:i/>
          </w:rPr>
          <w:t>Règlement de la Cour supérieure du Québec en matière civile</w:t>
        </w:r>
      </w:hyperlink>
      <w:r w:rsidR="00BE461D" w:rsidRPr="00533E13">
        <w:rPr>
          <w:rStyle w:val="Aucun"/>
          <w:iCs/>
          <w:lang w:val="fr-CA"/>
        </w:rPr>
        <w:t>)</w:t>
      </w:r>
      <w:r w:rsidR="00BE461D" w:rsidRPr="00C33204">
        <w:rPr>
          <w:rStyle w:val="Aucun"/>
          <w:lang w:val="fr-CA"/>
        </w:rPr>
        <w:t>.</w:t>
      </w:r>
    </w:p>
    <w:p w14:paraId="4B23EB9B" w14:textId="306C83BB" w:rsidR="00C33204" w:rsidRDefault="00C33204" w:rsidP="005977BA">
      <w:pPr>
        <w:pStyle w:val="Harmonisation-paragraphe"/>
        <w:rPr>
          <w:rStyle w:val="Aucun"/>
          <w:lang w:val="fr-CA"/>
        </w:rPr>
      </w:pPr>
      <w:bookmarkStart w:id="67" w:name="_Toc124"/>
      <w:r w:rsidRPr="00C33204">
        <w:rPr>
          <w:rStyle w:val="Aucun"/>
          <w:lang w:val="fr-CA"/>
        </w:rPr>
        <w:t>Il appartiendra alors aux parties de le réactiver</w:t>
      </w:r>
      <w:r w:rsidR="0061482A">
        <w:rPr>
          <w:rStyle w:val="Aucun"/>
          <w:lang w:val="fr-CA"/>
        </w:rPr>
        <w:t xml:space="preserve"> en présentant un avis de gestion</w:t>
      </w:r>
      <w:r w:rsidRPr="00C33204">
        <w:rPr>
          <w:rStyle w:val="Aucun"/>
          <w:lang w:val="fr-CA"/>
        </w:rPr>
        <w:t>, après avoir remédié au défaut</w:t>
      </w:r>
      <w:r w:rsidR="00A43B9B">
        <w:rPr>
          <w:rStyle w:val="Aucun"/>
          <w:lang w:val="fr-CA"/>
        </w:rPr>
        <w:t>.</w:t>
      </w:r>
      <w:r w:rsidRPr="00C33204">
        <w:rPr>
          <w:rStyle w:val="Aucun"/>
          <w:lang w:val="fr-CA"/>
        </w:rPr>
        <w:t xml:space="preserve"> </w:t>
      </w:r>
      <w:bookmarkEnd w:id="67"/>
    </w:p>
    <w:p w14:paraId="3C127A1E" w14:textId="77777777" w:rsidR="00533E13" w:rsidRDefault="00A81FE9" w:rsidP="00073E0A">
      <w:pPr>
        <w:pStyle w:val="Harmonisation-titre2"/>
      </w:pPr>
      <w:bookmarkStart w:id="68" w:name="_Toc88053907"/>
      <w:bookmarkStart w:id="69" w:name="_Toc154072894"/>
      <w:r w:rsidRPr="00475649">
        <w:t>Rôle provisoire</w:t>
      </w:r>
      <w:bookmarkEnd w:id="68"/>
      <w:bookmarkEnd w:id="69"/>
    </w:p>
    <w:p w14:paraId="2BE39E73" w14:textId="6B9D7ED7" w:rsidR="00A81FE9" w:rsidRPr="00475649" w:rsidRDefault="00475649" w:rsidP="005977BA">
      <w:pPr>
        <w:pStyle w:val="Harmonisation-paragraphe"/>
        <w:rPr>
          <w:rStyle w:val="Aucun"/>
          <w:lang w:val="fr-CA"/>
        </w:rPr>
      </w:pPr>
      <w:r>
        <w:rPr>
          <w:rStyle w:val="Aucun"/>
          <w:lang w:val="fr-CA"/>
        </w:rPr>
        <w:t>Sauf pour le</w:t>
      </w:r>
      <w:r w:rsidR="00CC2139">
        <w:rPr>
          <w:rStyle w:val="Aucun"/>
          <w:lang w:val="fr-CA"/>
        </w:rPr>
        <w:t>s</w:t>
      </w:r>
      <w:r>
        <w:rPr>
          <w:rStyle w:val="Aucun"/>
          <w:lang w:val="fr-CA"/>
        </w:rPr>
        <w:t xml:space="preserve"> district</w:t>
      </w:r>
      <w:r w:rsidR="00CC2139">
        <w:rPr>
          <w:rStyle w:val="Aucun"/>
          <w:lang w:val="fr-CA"/>
        </w:rPr>
        <w:t>s</w:t>
      </w:r>
      <w:r>
        <w:rPr>
          <w:rStyle w:val="Aucun"/>
          <w:lang w:val="fr-CA"/>
        </w:rPr>
        <w:t xml:space="preserve"> de Saint-François</w:t>
      </w:r>
      <w:r w:rsidR="00CC2139">
        <w:rPr>
          <w:rStyle w:val="Aucun"/>
          <w:lang w:val="fr-CA"/>
        </w:rPr>
        <w:t>, Bedford</w:t>
      </w:r>
      <w:r w:rsidR="004D4128">
        <w:rPr>
          <w:rStyle w:val="Aucun"/>
          <w:lang w:val="fr-CA"/>
        </w:rPr>
        <w:t>,</w:t>
      </w:r>
      <w:r w:rsidR="00CC2139">
        <w:rPr>
          <w:rStyle w:val="Aucun"/>
          <w:lang w:val="fr-CA"/>
        </w:rPr>
        <w:t xml:space="preserve"> M</w:t>
      </w:r>
      <w:r w:rsidR="00603FE6">
        <w:rPr>
          <w:rStyle w:val="Aucun"/>
          <w:lang w:val="fr-CA"/>
        </w:rPr>
        <w:t>é</w:t>
      </w:r>
      <w:r w:rsidR="00CC2139">
        <w:rPr>
          <w:rStyle w:val="Aucun"/>
          <w:lang w:val="fr-CA"/>
        </w:rPr>
        <w:t>gantic</w:t>
      </w:r>
      <w:r>
        <w:rPr>
          <w:rStyle w:val="Aucun"/>
          <w:lang w:val="fr-CA"/>
        </w:rPr>
        <w:t xml:space="preserve">, </w:t>
      </w:r>
      <w:r w:rsidR="004D4128">
        <w:rPr>
          <w:rStyle w:val="Aucun"/>
          <w:lang w:val="fr-CA"/>
        </w:rPr>
        <w:t xml:space="preserve">Richelieu et Saint-Hyacinthe, </w:t>
      </w:r>
      <w:r>
        <w:rPr>
          <w:rStyle w:val="Aucun"/>
          <w:lang w:val="fr-CA"/>
        </w:rPr>
        <w:t>l</w:t>
      </w:r>
      <w:r w:rsidR="00233C08" w:rsidRPr="00475649">
        <w:rPr>
          <w:rStyle w:val="Aucun"/>
          <w:lang w:val="fr-CA"/>
        </w:rPr>
        <w:t xml:space="preserve">orsque le dossier est en état et que l’attestation de dossier complet est délivrée, le maître des rôles prépare une liste des affaires qui peuvent être appelées au rôle provisoire. Il expédie aux parties </w:t>
      </w:r>
      <w:r w:rsidR="00233C08" w:rsidRPr="00475649">
        <w:rPr>
          <w:rStyle w:val="Aucun"/>
          <w:lang w:val="fr-CA"/>
        </w:rPr>
        <w:lastRenderedPageBreak/>
        <w:t>l’extrait afférent à leur cause. Il les convoque alors à un appel du rôle provisoire (art. 22 </w:t>
      </w:r>
      <w:r w:rsidR="00766341">
        <w:rPr>
          <w:rStyle w:val="Aucun"/>
          <w:lang w:val="fr-CA"/>
        </w:rPr>
        <w:t xml:space="preserve">du </w:t>
      </w:r>
      <w:hyperlink r:id="rId33" w:history="1">
        <w:r w:rsidR="005F2FB7" w:rsidRPr="00BB10B3">
          <w:rPr>
            <w:rStyle w:val="Lienhypertexte"/>
            <w:i/>
          </w:rPr>
          <w:t>Règlement de la Cour supérieure du Québec en matière civile</w:t>
        </w:r>
      </w:hyperlink>
      <w:r w:rsidR="00233C08" w:rsidRPr="00475649">
        <w:rPr>
          <w:rStyle w:val="Aucun"/>
          <w:lang w:val="fr-CA"/>
        </w:rPr>
        <w:t>).</w:t>
      </w:r>
    </w:p>
    <w:p w14:paraId="56427B8A" w14:textId="77777777" w:rsidR="00A63511" w:rsidRPr="00475649" w:rsidRDefault="00A63511" w:rsidP="005977BA">
      <w:pPr>
        <w:pStyle w:val="Harmonisation-paragraphe"/>
      </w:pPr>
      <w:r w:rsidRPr="00475649">
        <w:t>Avant de se présenter à l’appel du rôle provisoire, les parties doivent vérifier leurs disponibilités et, le cas échéant, celles de leurs témoins experts, de façon à permettre de fixer sans délai la date de l’instruction.</w:t>
      </w:r>
    </w:p>
    <w:p w14:paraId="4F8A4E33" w14:textId="77777777" w:rsidR="00A63511" w:rsidRPr="00475649" w:rsidRDefault="00A63511" w:rsidP="005977BA">
      <w:pPr>
        <w:pStyle w:val="Harmonisation-paragraphe"/>
      </w:pPr>
      <w:r w:rsidRPr="00475649">
        <w:t xml:space="preserve">Avant l’appel du rôle provisoire, les parties doivent coopérer pour </w:t>
      </w:r>
      <w:r w:rsidR="00C637CE">
        <w:t>abréger</w:t>
      </w:r>
      <w:r w:rsidRPr="00475649">
        <w:t xml:space="preserve"> l’instruction. </w:t>
      </w:r>
      <w:r w:rsidR="00766341">
        <w:t>Elles</w:t>
      </w:r>
      <w:r w:rsidR="00766341" w:rsidRPr="00475649">
        <w:t xml:space="preserve"> </w:t>
      </w:r>
      <w:r w:rsidRPr="00475649">
        <w:t>doivent notamment faire toutes les admissions qui s’imposent.</w:t>
      </w:r>
    </w:p>
    <w:p w14:paraId="07E6D80B" w14:textId="77777777" w:rsidR="00A63511" w:rsidRPr="00475649" w:rsidRDefault="00A63511" w:rsidP="005977BA">
      <w:pPr>
        <w:pStyle w:val="Harmonisation-paragraphe"/>
        <w:rPr>
          <w:rStyle w:val="Aucun"/>
          <w:lang w:val="fr-CA"/>
        </w:rPr>
      </w:pPr>
      <w:r w:rsidRPr="00475649">
        <w:rPr>
          <w:rStyle w:val="Aucun"/>
          <w:lang w:val="fr-CA"/>
        </w:rPr>
        <w:t xml:space="preserve">Lorsqu’un dossier fait l’objet d’un règlement alors qu’il est inscrit sur un rôle provisoire, les parties doivent en aviser le maître des rôles par écrit dans les meilleurs délais et au plus tard trois jours avant la date </w:t>
      </w:r>
      <w:r w:rsidR="00A80B1B">
        <w:rPr>
          <w:rStyle w:val="Aucun"/>
          <w:lang w:val="fr-CA"/>
        </w:rPr>
        <w:t xml:space="preserve">de l’appel </w:t>
      </w:r>
      <w:r w:rsidRPr="00475649">
        <w:rPr>
          <w:rStyle w:val="Aucun"/>
          <w:lang w:val="fr-CA"/>
        </w:rPr>
        <w:t>du rôle provisoire</w:t>
      </w:r>
      <w:r w:rsidR="00780553" w:rsidRPr="00475649">
        <w:rPr>
          <w:rStyle w:val="Aucun"/>
          <w:lang w:val="fr-CA"/>
        </w:rPr>
        <w:t>.</w:t>
      </w:r>
    </w:p>
    <w:p w14:paraId="3DFAC57C" w14:textId="0FC88680" w:rsidR="0081437C" w:rsidRPr="00475649" w:rsidRDefault="0081437C" w:rsidP="005977BA">
      <w:pPr>
        <w:pStyle w:val="Harmonisation-paragraphe"/>
        <w:rPr>
          <w:rStyle w:val="Aucun"/>
          <w:lang w:val="fr-CA"/>
        </w:rPr>
      </w:pPr>
      <w:bookmarkStart w:id="70" w:name="_Toc134"/>
      <w:r w:rsidRPr="00475649">
        <w:rPr>
          <w:rStyle w:val="Aucun"/>
          <w:lang w:val="fr-CA"/>
        </w:rPr>
        <w:t xml:space="preserve">L’avocat qui participe à l’appel du rôle provisoire doit avoir une connaissance véritable du dossier et être notamment en mesure de faire des admissions et de prendre toute autre décision relativement au déroulement de l’instance. À défaut, la partie défaillante s’expose à une condamnation </w:t>
      </w:r>
      <w:r w:rsidR="00FE00BC">
        <w:rPr>
          <w:rStyle w:val="Aucun"/>
          <w:lang w:val="fr-CA"/>
        </w:rPr>
        <w:t xml:space="preserve">à titre de frais de justice </w:t>
      </w:r>
      <w:r w:rsidRPr="00475649">
        <w:rPr>
          <w:rStyle w:val="Aucun"/>
          <w:lang w:val="fr-CA"/>
        </w:rPr>
        <w:t>en vertu de l’article 342 C.p.c.</w:t>
      </w:r>
      <w:bookmarkEnd w:id="70"/>
    </w:p>
    <w:p w14:paraId="11260129" w14:textId="08284F6C" w:rsidR="00530FCF" w:rsidRPr="00530FCF" w:rsidRDefault="009B0ECC" w:rsidP="005977BA">
      <w:pPr>
        <w:pStyle w:val="Harmonisation-paragraphe"/>
        <w:rPr>
          <w:rStyle w:val="Aucun"/>
          <w:highlight w:val="yellow"/>
          <w:lang w:val="fr-CA"/>
        </w:rPr>
      </w:pPr>
      <w:r w:rsidRPr="00475649">
        <w:rPr>
          <w:rStyle w:val="Aucun"/>
          <w:lang w:val="fr-CA"/>
        </w:rPr>
        <w:t>Les parties peuvent être convoquées à une conférence préparatoire en vue de simplifier l’instruction (art.</w:t>
      </w:r>
      <w:r w:rsidR="007257BD" w:rsidRPr="00475649">
        <w:rPr>
          <w:rStyle w:val="Aucun"/>
          <w:lang w:val="fr-CA"/>
        </w:rPr>
        <w:t xml:space="preserve"> 179 C.p.c</w:t>
      </w:r>
      <w:r w:rsidR="009A6850" w:rsidRPr="00475649">
        <w:rPr>
          <w:rStyle w:val="Aucun"/>
          <w:lang w:val="fr-CA"/>
        </w:rPr>
        <w:t>.</w:t>
      </w:r>
      <w:r w:rsidRPr="00475649">
        <w:rPr>
          <w:rStyle w:val="Aucun"/>
          <w:lang w:val="fr-CA"/>
        </w:rPr>
        <w:t>).</w:t>
      </w:r>
    </w:p>
    <w:p w14:paraId="57E4673B" w14:textId="2EEA9C09" w:rsidR="00530FCF" w:rsidRPr="00530FCF" w:rsidRDefault="00530FCF" w:rsidP="00073E0A">
      <w:pPr>
        <w:pStyle w:val="Harmonisation-titre2"/>
        <w:rPr>
          <w:rStyle w:val="Aucun"/>
          <w:lang w:val="fr-CA"/>
        </w:rPr>
      </w:pPr>
      <w:bookmarkStart w:id="71" w:name="_Toc154072895"/>
      <w:r w:rsidRPr="00530FCF">
        <w:t>Règles particulières applicables aux demandes traitées suivant la procédure non contentieuse</w:t>
      </w:r>
      <w:bookmarkEnd w:id="71"/>
    </w:p>
    <w:p w14:paraId="55850A81" w14:textId="5CA482A1" w:rsidR="00530FCF" w:rsidRPr="00530FCF" w:rsidRDefault="00530FCF" w:rsidP="005977BA">
      <w:pPr>
        <w:pStyle w:val="Harmonisation-paragraphe"/>
        <w:rPr>
          <w:rStyle w:val="Aucun"/>
          <w:highlight w:val="yellow"/>
          <w:lang w:val="fr-CA"/>
        </w:rPr>
      </w:pPr>
      <w:r w:rsidRPr="00530FCF">
        <w:rPr>
          <w:rStyle w:val="Aucun"/>
          <w:lang w:val="fr-CA"/>
        </w:rPr>
        <w:t xml:space="preserve">Les dispositions de l’annexe I du </w:t>
      </w:r>
      <w:hyperlink r:id="rId34" w:history="1">
        <w:r w:rsidR="005F2FB7" w:rsidRPr="00BB10B3">
          <w:rPr>
            <w:rStyle w:val="Lienhypertexte"/>
            <w:i/>
          </w:rPr>
          <w:t>Règlement de la Cour supérieure du Québec en matière civile</w:t>
        </w:r>
      </w:hyperlink>
      <w:r w:rsidRPr="00530FCF">
        <w:rPr>
          <w:rStyle w:val="Aucun"/>
          <w:lang w:val="fr-CA"/>
        </w:rPr>
        <w:t xml:space="preserve"> (chapitre C-25.01, r. 0.2.1) et les règles particulières de procédure prévues par </w:t>
      </w:r>
      <w:bookmarkStart w:id="72" w:name="_Hlk120611654"/>
      <w:r w:rsidRPr="00530FCF">
        <w:rPr>
          <w:rStyle w:val="Aucun"/>
          <w:lang w:val="fr-CA"/>
        </w:rPr>
        <w:t xml:space="preserve">le </w:t>
      </w:r>
      <w:hyperlink r:id="rId35" w:anchor=":~:text=de%20vos%20commentaires!-,R%C3%A8glement%20%C3%A9tablissant%20un%20projet%20pilote%20visant%20la%20transformation,l'administration%20de%20la%20justice&amp;text=Dans%20le%20cadre%20du%20programme,le%201er%20novembre%20prochain." w:history="1">
        <w:r w:rsidRPr="006641BF">
          <w:rPr>
            <w:rStyle w:val="Lienhypertexte"/>
            <w:i/>
            <w:iCs/>
          </w:rPr>
          <w:t>Règlement établissant un projet pilote visant la transformation numérique de l’administration de la justice</w:t>
        </w:r>
      </w:hyperlink>
      <w:r w:rsidRPr="00530FCF">
        <w:rPr>
          <w:rStyle w:val="Aucun"/>
          <w:lang w:val="fr-CA"/>
        </w:rPr>
        <w:t xml:space="preserve">, (2022) 154 G.O.Q. II, s’appliquent aux demandes traitées suivant la </w:t>
      </w:r>
      <w:bookmarkEnd w:id="72"/>
      <w:r w:rsidRPr="00530FCF">
        <w:rPr>
          <w:rStyle w:val="Aucun"/>
          <w:lang w:val="fr-CA"/>
        </w:rPr>
        <w:t>procédure non contentieuse qui font l’objet du projet pilote établi par ce règlement et prévalent lorsqu'elles sont incompatibles avec les présentes directive</w:t>
      </w:r>
      <w:r w:rsidR="005A75B0">
        <w:rPr>
          <w:rStyle w:val="Aucun"/>
          <w:lang w:val="fr-CA"/>
        </w:rPr>
        <w:t>s.</w:t>
      </w:r>
    </w:p>
    <w:p w14:paraId="66AE2B5F" w14:textId="39487A3B" w:rsidR="00CA052B" w:rsidRPr="00373B31" w:rsidRDefault="00CA052B" w:rsidP="00073E0A">
      <w:pPr>
        <w:pStyle w:val="Harmonisation-titre2"/>
        <w:rPr>
          <w:rStyle w:val="Harmonisation-titre2Car"/>
        </w:rPr>
      </w:pPr>
      <w:bookmarkStart w:id="73" w:name="_Toc154072896"/>
      <w:r>
        <w:t>Représentations à distance</w:t>
      </w:r>
      <w:bookmarkEnd w:id="73"/>
    </w:p>
    <w:p w14:paraId="42C2BA85" w14:textId="77777777" w:rsidR="002330B9" w:rsidRPr="00216630" w:rsidRDefault="002330B9" w:rsidP="002330B9">
      <w:pPr>
        <w:pStyle w:val="paragraphenumrot"/>
        <w:rPr>
          <w:rStyle w:val="Aucun"/>
          <w:rFonts w:ascii="Arial Gras" w:hAnsi="Arial Gras"/>
          <w:b/>
          <w:bCs/>
          <w:color w:val="auto"/>
          <w:szCs w:val="20"/>
          <w:lang w:val="fr-CA" w:eastAsia="en-US"/>
        </w:rPr>
      </w:pPr>
      <w:r>
        <w:rPr>
          <w:rStyle w:val="Aucun"/>
          <w:lang w:val="fr-CA"/>
        </w:rPr>
        <w:t xml:space="preserve">Les parties doivent utiliser Teams. </w:t>
      </w:r>
    </w:p>
    <w:p w14:paraId="437A6672" w14:textId="77777777" w:rsidR="002330B9" w:rsidRPr="004B2FEB" w:rsidRDefault="002330B9" w:rsidP="002330B9">
      <w:pPr>
        <w:pStyle w:val="paragraphenumrot"/>
        <w:rPr>
          <w:rStyle w:val="Aucun"/>
          <w:rFonts w:ascii="Arial Gras" w:hAnsi="Arial Gras"/>
          <w:b/>
          <w:bCs/>
          <w:color w:val="auto"/>
          <w:szCs w:val="20"/>
          <w:lang w:val="fr-CA" w:eastAsia="en-US"/>
        </w:rPr>
      </w:pPr>
      <w:r w:rsidRPr="00216630">
        <w:rPr>
          <w:rStyle w:val="Aucun"/>
          <w:lang w:val="fr-CA"/>
        </w:rPr>
        <w:t>Les coordonnées des différentes salles de cour virtuelles se trouvent</w:t>
      </w:r>
      <w:r>
        <w:rPr>
          <w:rStyle w:val="Aucun"/>
          <w:lang w:val="fr-CA"/>
        </w:rPr>
        <w:t xml:space="preserve"> </w:t>
      </w:r>
      <w:r w:rsidRPr="004B2FEB">
        <w:rPr>
          <w:rStyle w:val="Aucun"/>
          <w:lang w:val="fr-CA"/>
        </w:rPr>
        <w:t>sur le site de la Cour supérieure du Québec.</w:t>
      </w:r>
    </w:p>
    <w:p w14:paraId="49B8ECFE" w14:textId="77777777" w:rsidR="00FB5B93" w:rsidRPr="004E7E3E" w:rsidRDefault="009822EF" w:rsidP="00CA052B">
      <w:pPr>
        <w:pStyle w:val="paragraphenumrot"/>
        <w:rPr>
          <w:rStyle w:val="Aucun"/>
          <w:rFonts w:ascii="Arial Gras" w:hAnsi="Arial Gras"/>
          <w:b/>
          <w:bCs/>
          <w:color w:val="auto"/>
          <w:szCs w:val="20"/>
          <w:lang w:val="fr-CA" w:eastAsia="en-US"/>
        </w:rPr>
      </w:pPr>
      <w:r>
        <w:rPr>
          <w:rStyle w:val="Aucun"/>
          <w:lang w:val="fr-CA"/>
        </w:rPr>
        <w:t>À moins d’indication contraire de la part du tribunal, l</w:t>
      </w:r>
      <w:r w:rsidR="00FB5B93">
        <w:rPr>
          <w:rStyle w:val="Aucun"/>
          <w:lang w:val="fr-CA"/>
        </w:rPr>
        <w:t>es parties ont l’option de procéder à distance pour les dossiers sur les rôles de pratique</w:t>
      </w:r>
      <w:r w:rsidR="004D4128">
        <w:rPr>
          <w:rStyle w:val="Aucun"/>
          <w:lang w:val="fr-CA"/>
        </w:rPr>
        <w:t xml:space="preserve"> ou de fond,</w:t>
      </w:r>
      <w:r w:rsidR="00FB5B93">
        <w:rPr>
          <w:rStyle w:val="Aucun"/>
          <w:lang w:val="fr-CA"/>
        </w:rPr>
        <w:t xml:space="preserve"> </w:t>
      </w:r>
      <w:r>
        <w:rPr>
          <w:rStyle w:val="Aucun"/>
          <w:lang w:val="fr-CA"/>
        </w:rPr>
        <w:t>dans la mesure où aucun témoin ne sera entendu.</w:t>
      </w:r>
      <w:r w:rsidR="00FB5B93">
        <w:rPr>
          <w:rStyle w:val="Aucun"/>
          <w:lang w:val="fr-CA"/>
        </w:rPr>
        <w:t xml:space="preserve"> </w:t>
      </w:r>
    </w:p>
    <w:p w14:paraId="5668B459" w14:textId="77777777" w:rsidR="00FB5B93" w:rsidRPr="004E7E3E" w:rsidRDefault="00FB5B93" w:rsidP="00CA052B">
      <w:pPr>
        <w:pStyle w:val="paragraphenumrot"/>
        <w:rPr>
          <w:rStyle w:val="Aucun"/>
          <w:rFonts w:ascii="Arial Gras" w:hAnsi="Arial Gras"/>
          <w:b/>
          <w:bCs/>
          <w:color w:val="auto"/>
          <w:szCs w:val="20"/>
          <w:lang w:val="fr-CA" w:eastAsia="en-US"/>
        </w:rPr>
      </w:pPr>
      <w:r w:rsidRPr="00F60333">
        <w:rPr>
          <w:rStyle w:val="Aucun"/>
          <w:lang w:val="fr-CA"/>
        </w:rPr>
        <w:lastRenderedPageBreak/>
        <w:t xml:space="preserve">Les dossiers sur les rôles de pratique </w:t>
      </w:r>
      <w:r w:rsidR="00D7259C">
        <w:rPr>
          <w:rStyle w:val="Aucun"/>
          <w:lang w:val="fr-CA"/>
        </w:rPr>
        <w:t>ou</w:t>
      </w:r>
      <w:r w:rsidRPr="00F60333">
        <w:rPr>
          <w:rStyle w:val="Aucun"/>
          <w:lang w:val="fr-CA"/>
        </w:rPr>
        <w:t xml:space="preserve"> </w:t>
      </w:r>
      <w:r w:rsidR="004D4128">
        <w:rPr>
          <w:rStyle w:val="Aucun"/>
          <w:lang w:val="fr-CA"/>
        </w:rPr>
        <w:t>de</w:t>
      </w:r>
      <w:r w:rsidRPr="00F60333">
        <w:rPr>
          <w:rStyle w:val="Aucun"/>
          <w:lang w:val="fr-CA"/>
        </w:rPr>
        <w:t xml:space="preserve"> fond</w:t>
      </w:r>
      <w:r w:rsidR="004D4128">
        <w:rPr>
          <w:rStyle w:val="Aucun"/>
          <w:lang w:val="fr-CA"/>
        </w:rPr>
        <w:t>,</w:t>
      </w:r>
      <w:r w:rsidR="00D7259C">
        <w:rPr>
          <w:rStyle w:val="Aucun"/>
          <w:lang w:val="fr-CA"/>
        </w:rPr>
        <w:t xml:space="preserve"> pour lesquels au moins un témoin sera entendu</w:t>
      </w:r>
      <w:r w:rsidR="004D4128">
        <w:rPr>
          <w:rStyle w:val="Aucun"/>
          <w:lang w:val="fr-CA"/>
        </w:rPr>
        <w:t>,</w:t>
      </w:r>
      <w:r w:rsidR="00D7259C">
        <w:rPr>
          <w:rStyle w:val="Aucun"/>
          <w:lang w:val="fr-CA"/>
        </w:rPr>
        <w:t xml:space="preserve"> </w:t>
      </w:r>
      <w:r w:rsidRPr="00F60333">
        <w:rPr>
          <w:rStyle w:val="Aucun"/>
          <w:lang w:val="fr-CA"/>
        </w:rPr>
        <w:t>se déroulent en présentiel, à moins que les parties :</w:t>
      </w:r>
    </w:p>
    <w:p w14:paraId="09DB9FA4" w14:textId="77777777" w:rsidR="00FB5B93" w:rsidRPr="004E7E3E" w:rsidRDefault="00FB5B93" w:rsidP="00E70935">
      <w:pPr>
        <w:pStyle w:val="Harmonisation-a"/>
        <w:numPr>
          <w:ilvl w:val="0"/>
          <w:numId w:val="20"/>
        </w:numPr>
        <w:rPr>
          <w:rStyle w:val="Aucun"/>
          <w:bCs/>
          <w:szCs w:val="20"/>
          <w:lang w:val="fr-CA"/>
        </w:rPr>
      </w:pPr>
      <w:r w:rsidRPr="009822EF">
        <w:rPr>
          <w:rStyle w:val="Aucun"/>
          <w:bCs/>
          <w:szCs w:val="20"/>
          <w:lang w:val="fr-CA"/>
        </w:rPr>
        <w:t>n</w:t>
      </w:r>
      <w:r w:rsidRPr="009822EF">
        <w:rPr>
          <w:rStyle w:val="Aucun"/>
          <w:rFonts w:hint="eastAsia"/>
          <w:bCs/>
          <w:szCs w:val="20"/>
          <w:lang w:val="fr-CA"/>
        </w:rPr>
        <w:t>’</w:t>
      </w:r>
      <w:r w:rsidRPr="009822EF">
        <w:rPr>
          <w:rStyle w:val="Aucun"/>
          <w:bCs/>
          <w:szCs w:val="20"/>
          <w:lang w:val="fr-CA"/>
        </w:rPr>
        <w:t>aient convenu entre elles de proc</w:t>
      </w:r>
      <w:r w:rsidRPr="009822EF">
        <w:rPr>
          <w:rStyle w:val="Aucun"/>
          <w:rFonts w:hint="eastAsia"/>
          <w:bCs/>
          <w:szCs w:val="20"/>
          <w:lang w:val="fr-CA"/>
        </w:rPr>
        <w:t>é</w:t>
      </w:r>
      <w:r w:rsidRPr="009822EF">
        <w:rPr>
          <w:rStyle w:val="Aucun"/>
          <w:bCs/>
          <w:szCs w:val="20"/>
          <w:lang w:val="fr-CA"/>
        </w:rPr>
        <w:t xml:space="preserve">der en tout ou en partie </w:t>
      </w:r>
      <w:r w:rsidRPr="009822EF">
        <w:rPr>
          <w:rStyle w:val="Aucun"/>
          <w:rFonts w:hint="eastAsia"/>
          <w:bCs/>
          <w:szCs w:val="20"/>
          <w:lang w:val="fr-CA"/>
        </w:rPr>
        <w:t>à</w:t>
      </w:r>
      <w:r w:rsidRPr="009822EF">
        <w:rPr>
          <w:rStyle w:val="Aucun"/>
          <w:bCs/>
          <w:szCs w:val="20"/>
          <w:lang w:val="fr-CA"/>
        </w:rPr>
        <w:t xml:space="preserve"> distance;</w:t>
      </w:r>
      <w:r w:rsidR="009822EF">
        <w:rPr>
          <w:rStyle w:val="Aucun"/>
          <w:bCs/>
          <w:szCs w:val="20"/>
          <w:lang w:val="fr-CA"/>
        </w:rPr>
        <w:t xml:space="preserve"> ou</w:t>
      </w:r>
    </w:p>
    <w:p w14:paraId="4987F9DE" w14:textId="77777777" w:rsidR="00FB5B93" w:rsidRPr="009822EF" w:rsidRDefault="009822EF" w:rsidP="00E70935">
      <w:pPr>
        <w:pStyle w:val="Harmonisation-a"/>
        <w:numPr>
          <w:ilvl w:val="0"/>
          <w:numId w:val="20"/>
        </w:numPr>
        <w:rPr>
          <w:rStyle w:val="Aucun"/>
          <w:bCs/>
          <w:szCs w:val="20"/>
          <w:lang w:val="fr-CA"/>
        </w:rPr>
      </w:pPr>
      <w:r w:rsidRPr="009822EF">
        <w:rPr>
          <w:rStyle w:val="Aucun"/>
          <w:bCs/>
          <w:szCs w:val="20"/>
          <w:lang w:val="fr-CA"/>
        </w:rPr>
        <w:t>n</w:t>
      </w:r>
      <w:r w:rsidRPr="009822EF">
        <w:rPr>
          <w:rStyle w:val="Aucun"/>
          <w:rFonts w:hint="eastAsia"/>
          <w:bCs/>
          <w:szCs w:val="20"/>
          <w:lang w:val="fr-CA"/>
        </w:rPr>
        <w:t>’</w:t>
      </w:r>
      <w:r w:rsidRPr="009822EF">
        <w:rPr>
          <w:rStyle w:val="Aucun"/>
          <w:bCs/>
          <w:szCs w:val="20"/>
          <w:lang w:val="fr-CA"/>
        </w:rPr>
        <w:t>aient obtenu au pr</w:t>
      </w:r>
      <w:r w:rsidRPr="009822EF">
        <w:rPr>
          <w:rStyle w:val="Aucun"/>
          <w:rFonts w:hint="eastAsia"/>
          <w:bCs/>
          <w:szCs w:val="20"/>
          <w:lang w:val="fr-CA"/>
        </w:rPr>
        <w:t>é</w:t>
      </w:r>
      <w:r w:rsidRPr="009822EF">
        <w:rPr>
          <w:rStyle w:val="Aucun"/>
          <w:bCs/>
          <w:szCs w:val="20"/>
          <w:lang w:val="fr-CA"/>
        </w:rPr>
        <w:t>alable l</w:t>
      </w:r>
      <w:r w:rsidRPr="009822EF">
        <w:rPr>
          <w:rStyle w:val="Aucun"/>
          <w:rFonts w:hint="eastAsia"/>
          <w:bCs/>
          <w:szCs w:val="20"/>
          <w:lang w:val="fr-CA"/>
        </w:rPr>
        <w:t>’</w:t>
      </w:r>
      <w:r w:rsidRPr="009822EF">
        <w:rPr>
          <w:rStyle w:val="Aucun"/>
          <w:bCs/>
          <w:szCs w:val="20"/>
          <w:lang w:val="fr-CA"/>
        </w:rPr>
        <w:t>autorisation du juge responsable du r</w:t>
      </w:r>
      <w:r w:rsidRPr="009822EF">
        <w:rPr>
          <w:rStyle w:val="Aucun"/>
          <w:rFonts w:hint="eastAsia"/>
          <w:bCs/>
          <w:szCs w:val="20"/>
          <w:lang w:val="fr-CA"/>
        </w:rPr>
        <w:t>ô</w:t>
      </w:r>
      <w:r w:rsidRPr="009822EF">
        <w:rPr>
          <w:rStyle w:val="Aucun"/>
          <w:bCs/>
          <w:szCs w:val="20"/>
          <w:lang w:val="fr-CA"/>
        </w:rPr>
        <w:t>le de proc</w:t>
      </w:r>
      <w:r w:rsidRPr="009822EF">
        <w:rPr>
          <w:rStyle w:val="Aucun"/>
          <w:rFonts w:hint="eastAsia"/>
          <w:bCs/>
          <w:szCs w:val="20"/>
          <w:lang w:val="fr-CA"/>
        </w:rPr>
        <w:t>é</w:t>
      </w:r>
      <w:r w:rsidRPr="009822EF">
        <w:rPr>
          <w:rStyle w:val="Aucun"/>
          <w:bCs/>
          <w:szCs w:val="20"/>
          <w:lang w:val="fr-CA"/>
        </w:rPr>
        <w:t xml:space="preserve">der en tout ou en partie </w:t>
      </w:r>
      <w:r w:rsidRPr="009822EF">
        <w:rPr>
          <w:rStyle w:val="Aucun"/>
          <w:rFonts w:hint="eastAsia"/>
          <w:bCs/>
          <w:szCs w:val="20"/>
          <w:lang w:val="fr-CA"/>
        </w:rPr>
        <w:t>à</w:t>
      </w:r>
      <w:r w:rsidRPr="009822EF">
        <w:rPr>
          <w:rStyle w:val="Aucun"/>
          <w:bCs/>
          <w:szCs w:val="20"/>
          <w:lang w:val="fr-CA"/>
        </w:rPr>
        <w:t xml:space="preserve"> distance.</w:t>
      </w:r>
    </w:p>
    <w:p w14:paraId="0089A8B2" w14:textId="734CC975" w:rsidR="00FB5B93" w:rsidRDefault="0013609F" w:rsidP="00953476">
      <w:pPr>
        <w:pStyle w:val="paragraphenumrot"/>
        <w:keepNext/>
        <w:keepLines/>
        <w:widowControl/>
        <w:ind w:left="635" w:hanging="635"/>
        <w:rPr>
          <w:rStyle w:val="Aucun"/>
          <w:bCs/>
          <w:color w:val="auto"/>
          <w:szCs w:val="20"/>
          <w:lang w:val="fr-CA" w:eastAsia="en-US"/>
        </w:rPr>
      </w:pPr>
      <w:r w:rsidRPr="004E7E3E">
        <w:rPr>
          <w:rStyle w:val="Aucun"/>
          <w:bCs/>
          <w:color w:val="auto"/>
          <w:szCs w:val="20"/>
          <w:lang w:val="fr-CA" w:eastAsia="en-US"/>
        </w:rPr>
        <w:t>Dans tous les cas, le juge qui pr</w:t>
      </w:r>
      <w:r w:rsidRPr="004E7E3E">
        <w:rPr>
          <w:rStyle w:val="Aucun"/>
          <w:rFonts w:hint="eastAsia"/>
          <w:bCs/>
          <w:color w:val="auto"/>
          <w:szCs w:val="20"/>
          <w:lang w:val="fr-CA" w:eastAsia="en-US"/>
        </w:rPr>
        <w:t>é</w:t>
      </w:r>
      <w:r w:rsidRPr="004E7E3E">
        <w:rPr>
          <w:rStyle w:val="Aucun"/>
          <w:bCs/>
          <w:color w:val="auto"/>
          <w:szCs w:val="20"/>
          <w:lang w:val="fr-CA" w:eastAsia="en-US"/>
        </w:rPr>
        <w:t>side l</w:t>
      </w:r>
      <w:r w:rsidR="009C186E">
        <w:rPr>
          <w:rStyle w:val="Aucun"/>
          <w:bCs/>
          <w:color w:val="auto"/>
          <w:szCs w:val="20"/>
          <w:lang w:val="fr-CA" w:eastAsia="en-US"/>
        </w:rPr>
        <w:t>’</w:t>
      </w:r>
      <w:r w:rsidRPr="004E7E3E">
        <w:rPr>
          <w:rStyle w:val="Aucun"/>
          <w:bCs/>
          <w:color w:val="auto"/>
          <w:szCs w:val="20"/>
          <w:lang w:val="fr-CA" w:eastAsia="en-US"/>
        </w:rPr>
        <w:t>audience a le dernier mot quant</w:t>
      </w:r>
      <w:r w:rsidR="0061482A">
        <w:rPr>
          <w:rStyle w:val="Aucun"/>
          <w:bCs/>
          <w:color w:val="auto"/>
          <w:szCs w:val="20"/>
          <w:lang w:val="fr-CA" w:eastAsia="en-US"/>
        </w:rPr>
        <w:t xml:space="preserve"> aux modalités du déroulement de l’audience,</w:t>
      </w:r>
      <w:r w:rsidRPr="004E7E3E">
        <w:rPr>
          <w:rStyle w:val="Aucun"/>
          <w:bCs/>
          <w:color w:val="auto"/>
          <w:szCs w:val="20"/>
          <w:lang w:val="fr-CA" w:eastAsia="en-US"/>
        </w:rPr>
        <w:t xml:space="preserve"> ce qui </w:t>
      </w:r>
      <w:r w:rsidR="009C186E">
        <w:rPr>
          <w:rStyle w:val="Aucun"/>
          <w:bCs/>
          <w:color w:val="auto"/>
          <w:szCs w:val="20"/>
          <w:lang w:val="fr-CA" w:eastAsia="en-US"/>
        </w:rPr>
        <w:t>comprend</w:t>
      </w:r>
      <w:r w:rsidRPr="004E7E3E">
        <w:rPr>
          <w:rStyle w:val="Aucun"/>
          <w:bCs/>
          <w:color w:val="auto"/>
          <w:szCs w:val="20"/>
          <w:lang w:val="fr-CA" w:eastAsia="en-US"/>
        </w:rPr>
        <w:t xml:space="preserve"> autant les t</w:t>
      </w:r>
      <w:r w:rsidRPr="004E7E3E">
        <w:rPr>
          <w:rStyle w:val="Aucun"/>
          <w:rFonts w:hint="eastAsia"/>
          <w:bCs/>
          <w:color w:val="auto"/>
          <w:szCs w:val="20"/>
          <w:lang w:val="fr-CA" w:eastAsia="en-US"/>
        </w:rPr>
        <w:t>é</w:t>
      </w:r>
      <w:r w:rsidRPr="004E7E3E">
        <w:rPr>
          <w:rStyle w:val="Aucun"/>
          <w:bCs/>
          <w:color w:val="auto"/>
          <w:szCs w:val="20"/>
          <w:lang w:val="fr-CA" w:eastAsia="en-US"/>
        </w:rPr>
        <w:t>moignages que les repr</w:t>
      </w:r>
      <w:r w:rsidRPr="004E7E3E">
        <w:rPr>
          <w:rStyle w:val="Aucun"/>
          <w:rFonts w:hint="eastAsia"/>
          <w:bCs/>
          <w:color w:val="auto"/>
          <w:szCs w:val="20"/>
          <w:lang w:val="fr-CA" w:eastAsia="en-US"/>
        </w:rPr>
        <w:t>é</w:t>
      </w:r>
      <w:r w:rsidRPr="004E7E3E">
        <w:rPr>
          <w:rStyle w:val="Aucun"/>
          <w:bCs/>
          <w:color w:val="auto"/>
          <w:szCs w:val="20"/>
          <w:lang w:val="fr-CA" w:eastAsia="en-US"/>
        </w:rPr>
        <w:t>sentations des parties.</w:t>
      </w:r>
    </w:p>
    <w:p w14:paraId="3C196F7C" w14:textId="47D63366" w:rsidR="00250555" w:rsidRPr="004B2FEB" w:rsidRDefault="00250555" w:rsidP="00250555">
      <w:pPr>
        <w:pStyle w:val="paragraphenumrot"/>
        <w:rPr>
          <w:rStyle w:val="Aucun"/>
          <w:rFonts w:ascii="Arial Gras" w:hAnsi="Arial Gras"/>
          <w:b/>
          <w:bCs/>
          <w:color w:val="auto"/>
          <w:szCs w:val="20"/>
          <w:lang w:val="fr-CA" w:eastAsia="en-US"/>
        </w:rPr>
      </w:pPr>
      <w:r>
        <w:rPr>
          <w:rStyle w:val="Aucun"/>
          <w:lang w:val="fr-CA"/>
        </w:rPr>
        <w:t xml:space="preserve">Les avocats et les parties non représentées doivent respecter les délais de communication et de production prévus au </w:t>
      </w:r>
      <w:hyperlink r:id="rId36" w:history="1">
        <w:r w:rsidR="00D02BDD" w:rsidRPr="003B6941">
          <w:rPr>
            <w:rStyle w:val="Lienhypertexte"/>
            <w:i/>
          </w:rPr>
          <w:t>Code de procédure civile</w:t>
        </w:r>
      </w:hyperlink>
      <w:r>
        <w:rPr>
          <w:rStyle w:val="Aucun"/>
          <w:lang w:val="fr-CA"/>
        </w:rPr>
        <w:t xml:space="preserve"> et aux présentes directives. </w:t>
      </w:r>
    </w:p>
    <w:p w14:paraId="36D6B214" w14:textId="22743A85" w:rsidR="00CA052B" w:rsidRPr="002330B9" w:rsidRDefault="00AA5CF7" w:rsidP="00CA052B">
      <w:pPr>
        <w:pStyle w:val="paragraphenumrot"/>
        <w:rPr>
          <w:rStyle w:val="Aucun"/>
          <w:rFonts w:ascii="Arial Gras" w:hAnsi="Arial Gras"/>
          <w:b/>
          <w:bCs/>
          <w:color w:val="auto"/>
          <w:szCs w:val="20"/>
          <w:lang w:val="fr-CA" w:eastAsia="en-US"/>
        </w:rPr>
      </w:pPr>
      <w:r>
        <w:rPr>
          <w:rStyle w:val="Aucun"/>
          <w:lang w:val="fr-CA"/>
        </w:rPr>
        <w:t xml:space="preserve">Toute personne qui participe ou assiste à une audience à distance doit suivre les </w:t>
      </w:r>
      <w:hyperlink r:id="rId37" w:history="1">
        <w:r w:rsidRPr="002E1B29">
          <w:rPr>
            <w:rStyle w:val="Lienhypertexte"/>
            <w:i/>
          </w:rPr>
          <w:t>Lignes directrices visant à encadrer l’utilisation des technologies en salle d’audience et la conduite des participants qui se joignent à distance à une audience</w:t>
        </w:r>
      </w:hyperlink>
      <w:r w:rsidR="000E033C">
        <w:rPr>
          <w:rStyle w:val="Aucun"/>
          <w:lang w:val="fr-CA"/>
        </w:rPr>
        <w:t>.</w:t>
      </w:r>
    </w:p>
    <w:p w14:paraId="657A79E3" w14:textId="77777777" w:rsidR="00CA052B" w:rsidRPr="003974A8" w:rsidRDefault="00CA052B" w:rsidP="005977BA">
      <w:pPr>
        <w:pStyle w:val="Harmonisation-paragraphe"/>
      </w:pPr>
      <w:r w:rsidRPr="004B2FEB">
        <w:t xml:space="preserve">Les avocats et les parties non représentées doivent avoir à leur disposition une copie électronique de la demande, des éléments de preuve déposés à son soutien ou de sa contestation et les </w:t>
      </w:r>
      <w:r w:rsidR="00603CFC">
        <w:t>sources</w:t>
      </w:r>
      <w:r w:rsidRPr="004B2FEB">
        <w:t>, afin de les communiquer au besoin au juge qui entend la demande. Ces documents doivent</w:t>
      </w:r>
      <w:r>
        <w:t>, dans la mesure du possible, être en format Word ou PDF (OCR)</w:t>
      </w:r>
      <w:r>
        <w:rPr>
          <w:rStyle w:val="Appelnotedebasdep"/>
        </w:rPr>
        <w:footnoteReference w:id="1"/>
      </w:r>
      <w:r w:rsidR="003F0257">
        <w:t>.</w:t>
      </w:r>
    </w:p>
    <w:p w14:paraId="26A2E464" w14:textId="75327859" w:rsidR="00CA052B" w:rsidRDefault="00CA052B" w:rsidP="005977BA">
      <w:pPr>
        <w:pStyle w:val="Harmonisation-paragraphe"/>
      </w:pPr>
      <w:r>
        <w:t>L</w:t>
      </w:r>
      <w:r w:rsidRPr="00373B31">
        <w:t>a transmission électronique de</w:t>
      </w:r>
      <w:r>
        <w:t xml:space="preserve">s actes de procédure et éléments de preuve ne dispense pas les parties de les déposer </w:t>
      </w:r>
      <w:r w:rsidRPr="00373B31">
        <w:t>au greffe</w:t>
      </w:r>
      <w:r>
        <w:t>,</w:t>
      </w:r>
      <w:r w:rsidRPr="00373B31">
        <w:t xml:space="preserve"> conformément aux dispositions du </w:t>
      </w:r>
      <w:hyperlink r:id="rId38" w:history="1">
        <w:r w:rsidR="00D02BDD" w:rsidRPr="003B6941">
          <w:rPr>
            <w:rStyle w:val="Lienhypertexte"/>
            <w:i/>
          </w:rPr>
          <w:t>Code de procédure civile</w:t>
        </w:r>
      </w:hyperlink>
      <w:r w:rsidRPr="00373B31">
        <w:t xml:space="preserve"> et aux présentes directives.</w:t>
      </w:r>
    </w:p>
    <w:p w14:paraId="52208B85" w14:textId="77777777" w:rsidR="00C637CE" w:rsidRDefault="00C637CE" w:rsidP="005977BA">
      <w:pPr>
        <w:pStyle w:val="Harmonisation-paragraphe"/>
      </w:pPr>
      <w:r>
        <w:t>Les personnes qui témoignent à distance doivent avoir avec elles une copie des pièces et autres documents pertinents à leur témoignage.</w:t>
      </w:r>
    </w:p>
    <w:p w14:paraId="45955A30" w14:textId="77777777" w:rsidR="009A107D" w:rsidRDefault="00603CFC" w:rsidP="00073E0A">
      <w:pPr>
        <w:pStyle w:val="Harmonisation-titre2"/>
      </w:pPr>
      <w:bookmarkStart w:id="74" w:name="_Toc154072897"/>
      <w:r>
        <w:t>Sources</w:t>
      </w:r>
      <w:bookmarkEnd w:id="74"/>
    </w:p>
    <w:p w14:paraId="0DB1BA5C" w14:textId="77777777" w:rsidR="009A107D" w:rsidRDefault="00950FD5" w:rsidP="005977BA">
      <w:pPr>
        <w:pStyle w:val="Harmonisation-paragraphe"/>
      </w:pPr>
      <w:r>
        <w:rPr>
          <w:rStyle w:val="Aucun"/>
          <w:lang w:val="fr-CA"/>
        </w:rPr>
        <w:t xml:space="preserve">Lorsque les parties </w:t>
      </w:r>
      <w:r w:rsidR="009A107D">
        <w:rPr>
          <w:rStyle w:val="Aucun"/>
          <w:lang w:val="fr-CA"/>
        </w:rPr>
        <w:t xml:space="preserve">sont </w:t>
      </w:r>
      <w:r>
        <w:rPr>
          <w:rStyle w:val="Aucun"/>
          <w:lang w:val="fr-CA"/>
        </w:rPr>
        <w:t>autorisées à communiquer</w:t>
      </w:r>
      <w:r w:rsidR="009A107D">
        <w:rPr>
          <w:rStyle w:val="Aucun"/>
          <w:lang w:val="fr-CA"/>
        </w:rPr>
        <w:t xml:space="preserve"> électroniquement les </w:t>
      </w:r>
      <w:r w:rsidR="00603CFC">
        <w:rPr>
          <w:rStyle w:val="Aucun"/>
          <w:lang w:val="fr-CA"/>
        </w:rPr>
        <w:t>sources</w:t>
      </w:r>
      <w:r>
        <w:rPr>
          <w:rStyle w:val="Aucun"/>
          <w:lang w:val="fr-CA"/>
        </w:rPr>
        <w:t>, celles-ci</w:t>
      </w:r>
      <w:r w:rsidR="00603CFC">
        <w:rPr>
          <w:rStyle w:val="Aucun"/>
          <w:lang w:val="fr-CA"/>
        </w:rPr>
        <w:t xml:space="preserve"> </w:t>
      </w:r>
      <w:r w:rsidR="009A107D">
        <w:rPr>
          <w:rStyle w:val="Aucun"/>
          <w:lang w:val="fr-CA"/>
        </w:rPr>
        <w:t xml:space="preserve">sont </w:t>
      </w:r>
      <w:r w:rsidR="00160300">
        <w:rPr>
          <w:rStyle w:val="Aucun"/>
          <w:lang w:val="fr-CA"/>
        </w:rPr>
        <w:t xml:space="preserve">confectionnées </w:t>
      </w:r>
      <w:r w:rsidR="009A107D">
        <w:t>de la manière suivante</w:t>
      </w:r>
      <w:r w:rsidR="00160300">
        <w:t> </w:t>
      </w:r>
      <w:r w:rsidR="009A107D">
        <w:t>:</w:t>
      </w:r>
    </w:p>
    <w:p w14:paraId="76470381" w14:textId="77777777" w:rsidR="009A107D" w:rsidRDefault="009822EF" w:rsidP="009A107D">
      <w:pPr>
        <w:pStyle w:val="Harmonisation-tiret"/>
      </w:pPr>
      <w:r>
        <w:t>u</w:t>
      </w:r>
      <w:r w:rsidR="0013609F">
        <w:t>ne copie numérique des sources en format PDF (OCR) qui permet la recherche par mots</w:t>
      </w:r>
      <w:r w:rsidR="005A5B19">
        <w:t>-</w:t>
      </w:r>
      <w:r w:rsidR="0013609F">
        <w:t>clés doit accompagner la liste des sources;</w:t>
      </w:r>
    </w:p>
    <w:p w14:paraId="1D5E72E3" w14:textId="77777777" w:rsidR="009A107D" w:rsidRDefault="009822EF" w:rsidP="009A107D">
      <w:pPr>
        <w:pStyle w:val="Harmonisation-tiret"/>
      </w:pPr>
      <w:r>
        <w:t>l</w:t>
      </w:r>
      <w:r w:rsidR="009A107D">
        <w:t xml:space="preserve">es paragraphes </w:t>
      </w:r>
      <w:r w:rsidR="00845F95">
        <w:t xml:space="preserve">pertinents </w:t>
      </w:r>
      <w:r w:rsidR="009A107D">
        <w:t>ou</w:t>
      </w:r>
      <w:r w:rsidR="00845F95">
        <w:t>,</w:t>
      </w:r>
      <w:r w:rsidR="009A107D">
        <w:t xml:space="preserve"> à défaut</w:t>
      </w:r>
      <w:r w:rsidR="00845F95">
        <w:t>,</w:t>
      </w:r>
      <w:r w:rsidR="009A107D">
        <w:t xml:space="preserve"> les pages doivent être indiquées ou citées dans la liste </w:t>
      </w:r>
      <w:r w:rsidR="00603CFC">
        <w:t>des sources</w:t>
      </w:r>
      <w:r w:rsidR="002330B9">
        <w:t>;</w:t>
      </w:r>
    </w:p>
    <w:p w14:paraId="4B6A2E3A" w14:textId="77777777" w:rsidR="002330B9" w:rsidRDefault="002330B9" w:rsidP="009A107D">
      <w:pPr>
        <w:pStyle w:val="Harmonisation-tiret"/>
      </w:pPr>
      <w:r>
        <w:lastRenderedPageBreak/>
        <w:t>lorsqu’elles sont regroupées dans un seul fichier PDF, chaque source doit être identifiée par un signet.</w:t>
      </w:r>
    </w:p>
    <w:p w14:paraId="437C5703" w14:textId="77777777" w:rsidR="00375E76" w:rsidRDefault="00375E76" w:rsidP="00073E0A">
      <w:pPr>
        <w:pStyle w:val="Harmonisation-titre2"/>
      </w:pPr>
      <w:bookmarkStart w:id="75" w:name="_Toc88053909"/>
      <w:bookmarkStart w:id="76" w:name="_Toc154072898"/>
      <w:r>
        <w:t>Utilisation des technologies en salle d’audience</w:t>
      </w:r>
      <w:bookmarkEnd w:id="75"/>
      <w:bookmarkEnd w:id="76"/>
    </w:p>
    <w:p w14:paraId="1422F62B" w14:textId="2BF2AF9F" w:rsidR="00375E76" w:rsidRDefault="00375E76" w:rsidP="005977BA">
      <w:pPr>
        <w:pStyle w:val="Harmonisation-paragraphe"/>
      </w:pPr>
      <w:bookmarkStart w:id="77" w:name="_Toc161"/>
      <w:r w:rsidRPr="006921BC">
        <w:t>Est prohibée l’utilisation inappropriée de tous les appareils électroniques qui gênent le bon déroulement de l’audience ou portent atteinte aux convenances du tribunal (art. 37 </w:t>
      </w:r>
      <w:r w:rsidR="00766341">
        <w:t xml:space="preserve">du </w:t>
      </w:r>
      <w:hyperlink r:id="rId39" w:history="1">
        <w:r w:rsidR="005F2FB7" w:rsidRPr="00BB10B3">
          <w:rPr>
            <w:rStyle w:val="Lienhypertexte"/>
            <w:i/>
          </w:rPr>
          <w:t>Règlement de la Cour supérieure du Québec en matière civile</w:t>
        </w:r>
      </w:hyperlink>
      <w:r w:rsidRPr="006921BC">
        <w:t>).</w:t>
      </w:r>
      <w:bookmarkEnd w:id="77"/>
    </w:p>
    <w:p w14:paraId="1C4A8E90" w14:textId="77777777" w:rsidR="00375E76" w:rsidRDefault="00375E76" w:rsidP="005977BA">
      <w:pPr>
        <w:pStyle w:val="Harmonisation-paragraphe"/>
      </w:pPr>
      <w:bookmarkStart w:id="78" w:name="_Toc163"/>
      <w:r w:rsidRPr="006921BC">
        <w:t>Personne ne peut utiliser à l'intérieur d'une salle d’audience</w:t>
      </w:r>
      <w:r w:rsidR="00DD58B5">
        <w:t xml:space="preserve"> ou lors d’une audience virtuelle</w:t>
      </w:r>
      <w:r w:rsidRPr="006921BC">
        <w:t xml:space="preserve"> un appareil électronique d'une manière telle que cette personne :</w:t>
      </w:r>
      <w:bookmarkEnd w:id="78"/>
    </w:p>
    <w:p w14:paraId="734BF3F7" w14:textId="77777777" w:rsidR="00375E76" w:rsidRDefault="00375E76" w:rsidP="00E70935">
      <w:pPr>
        <w:pStyle w:val="Harmonisation-a"/>
        <w:numPr>
          <w:ilvl w:val="0"/>
          <w:numId w:val="11"/>
        </w:numPr>
        <w:ind w:left="1276" w:hanging="425"/>
      </w:pPr>
      <w:r w:rsidRPr="006921BC">
        <w:t>tient ou semble tenir une conversation ou communiquer autrement à l'aide de cet appareil</w:t>
      </w:r>
      <w:r>
        <w:t>;</w:t>
      </w:r>
    </w:p>
    <w:p w14:paraId="43DB39C6" w14:textId="77777777" w:rsidR="00375E76" w:rsidRDefault="00375E76" w:rsidP="00E70935">
      <w:pPr>
        <w:pStyle w:val="Harmonisation-a"/>
        <w:numPr>
          <w:ilvl w:val="0"/>
          <w:numId w:val="11"/>
        </w:numPr>
        <w:ind w:left="1276" w:hanging="425"/>
      </w:pPr>
      <w:bookmarkStart w:id="79" w:name="_Toc165"/>
      <w:r w:rsidRPr="006921BC">
        <w:t>prend ou semble créer une image, prendre des photographies ou effectuer un enregistrement.</w:t>
      </w:r>
      <w:bookmarkEnd w:id="79"/>
    </w:p>
    <w:p w14:paraId="4C444243" w14:textId="77777777" w:rsidR="007F787F" w:rsidRDefault="007F787F" w:rsidP="005977BA">
      <w:pPr>
        <w:pStyle w:val="Harmonisation-paragraphe"/>
      </w:pPr>
      <w:bookmarkStart w:id="80" w:name="_Toc166"/>
      <w:r w:rsidRPr="006921BC">
        <w:t>Un avocat, une partie ou un journaliste reconnu peuvent, si cela n'affecte pas le décorum, le bon ordre, le déroulement des procédures ou le système d'enregistrement numérique et respecte les ordonnances en vigueur :</w:t>
      </w:r>
      <w:bookmarkEnd w:id="80"/>
    </w:p>
    <w:p w14:paraId="71AEDC4E" w14:textId="77777777" w:rsidR="007F787F" w:rsidRDefault="007F787F" w:rsidP="00E70935">
      <w:pPr>
        <w:pStyle w:val="Harmonisation-a"/>
        <w:numPr>
          <w:ilvl w:val="0"/>
          <w:numId w:val="12"/>
        </w:numPr>
        <w:ind w:left="1276" w:hanging="425"/>
      </w:pPr>
      <w:bookmarkStart w:id="81" w:name="_Toc167"/>
      <w:r w:rsidRPr="006921BC">
        <w:t>garder en mode vibration ou discrétion un appareil électronique;</w:t>
      </w:r>
      <w:bookmarkEnd w:id="81"/>
    </w:p>
    <w:p w14:paraId="5C467F9D" w14:textId="77777777" w:rsidR="007F787F" w:rsidRDefault="007F787F" w:rsidP="00E70935">
      <w:pPr>
        <w:pStyle w:val="Harmonisation-a"/>
        <w:numPr>
          <w:ilvl w:val="0"/>
          <w:numId w:val="12"/>
        </w:numPr>
        <w:ind w:left="1276" w:hanging="425"/>
      </w:pPr>
      <w:r w:rsidRPr="006921BC">
        <w:t>utiliser un appareil électronique pour les besoins d'un dossier, notamment pour rédiger ou consulter des notes, un agenda, la doctrine, la législation ou la jurisprudence</w:t>
      </w:r>
      <w:r>
        <w:t>;</w:t>
      </w:r>
    </w:p>
    <w:p w14:paraId="179A9DCD" w14:textId="77777777" w:rsidR="007F787F" w:rsidRDefault="007F787F" w:rsidP="00E70935">
      <w:pPr>
        <w:pStyle w:val="Harmonisation-a"/>
        <w:numPr>
          <w:ilvl w:val="0"/>
          <w:numId w:val="12"/>
        </w:numPr>
        <w:ind w:left="1276" w:hanging="425"/>
      </w:pPr>
      <w:bookmarkStart w:id="82" w:name="_Toc169"/>
      <w:r w:rsidRPr="006921BC">
        <w:t xml:space="preserve">diffuser ou communiquer des messages textes, </w:t>
      </w:r>
      <w:r w:rsidR="005A5B19">
        <w:t xml:space="preserve">courriels, </w:t>
      </w:r>
      <w:r w:rsidRPr="006921BC">
        <w:t>observations, informations et notes.</w:t>
      </w:r>
      <w:bookmarkEnd w:id="82"/>
    </w:p>
    <w:p w14:paraId="21A48D4D" w14:textId="77777777" w:rsidR="007F787F" w:rsidRDefault="007F787F" w:rsidP="005977BA">
      <w:pPr>
        <w:pStyle w:val="Harmonisation-paragraphe"/>
      </w:pPr>
      <w:r>
        <w:t>Il est toujours interdit :</w:t>
      </w:r>
    </w:p>
    <w:p w14:paraId="40CD95EB" w14:textId="77777777" w:rsidR="007F787F" w:rsidRDefault="007F787F" w:rsidP="00E70935">
      <w:pPr>
        <w:pStyle w:val="Harmonisation-a"/>
        <w:numPr>
          <w:ilvl w:val="0"/>
          <w:numId w:val="13"/>
        </w:numPr>
        <w:ind w:left="1276" w:hanging="425"/>
      </w:pPr>
      <w:r w:rsidRPr="006921BC">
        <w:t>d'utiliser ou avoir en sa possession un appareil quelconque susceptible de perturber le décorum, le déroulement d'une audience, d'interférer avec le système d'enregistrement de quelque façon que ce soit ou de tenter de contourner ou de violer une ordonnance ou d’entraver le cours de la justice;</w:t>
      </w:r>
    </w:p>
    <w:p w14:paraId="29FD3522" w14:textId="77777777" w:rsidR="007F787F" w:rsidRDefault="007F787F" w:rsidP="00CC2139">
      <w:pPr>
        <w:pStyle w:val="Harmonisation-a"/>
        <w:ind w:left="1276" w:hanging="425"/>
      </w:pPr>
      <w:r w:rsidRPr="006921BC">
        <w:t>d'effectuer un appel ou répondre à l’aide d’un appareil électronique;</w:t>
      </w:r>
    </w:p>
    <w:p w14:paraId="71EC2E3E" w14:textId="77777777" w:rsidR="007F787F" w:rsidRDefault="007F787F" w:rsidP="00CC2139">
      <w:pPr>
        <w:pStyle w:val="Harmonisation-a"/>
        <w:ind w:left="1276" w:hanging="425"/>
      </w:pPr>
      <w:r w:rsidRPr="006921BC">
        <w:t>de prendre des photographies ou des enregistrements audio ou vidéo dans la salle d’audience;</w:t>
      </w:r>
    </w:p>
    <w:p w14:paraId="0CB6F903" w14:textId="77777777" w:rsidR="007F787F" w:rsidRDefault="007F787F" w:rsidP="00CC2139">
      <w:pPr>
        <w:pStyle w:val="Harmonisation-a"/>
        <w:ind w:left="1276" w:hanging="425"/>
      </w:pPr>
      <w:r w:rsidRPr="006921BC">
        <w:t>de diffuser des photographies, des enregistrements audio ou vidéo</w:t>
      </w:r>
      <w:r w:rsidR="00C637CE">
        <w:t xml:space="preserve"> pris</w:t>
      </w:r>
      <w:r w:rsidRPr="006921BC">
        <w:t xml:space="preserve"> à partir de la salle d’audience.</w:t>
      </w:r>
    </w:p>
    <w:p w14:paraId="627B9E90" w14:textId="77777777" w:rsidR="007F787F" w:rsidRDefault="007F787F" w:rsidP="005977BA">
      <w:pPr>
        <w:pStyle w:val="Harmonisation-paragraphe"/>
        <w:rPr>
          <w:rStyle w:val="Aucun"/>
          <w:lang w:val="fr-CA"/>
        </w:rPr>
      </w:pPr>
      <w:bookmarkStart w:id="83" w:name="_Toc175"/>
      <w:r w:rsidRPr="007F787F">
        <w:rPr>
          <w:rStyle w:val="Aucun"/>
          <w:lang w:val="fr-CA"/>
        </w:rPr>
        <w:lastRenderedPageBreak/>
        <w:t>Sont notamment des appareils électroniques : les téléphones cellulaires, téléphones intelligents, montres intelligentes, tablettes électroniques, ordinateurs portables et équipements analogues dotés d’une ou de plusieurs des fonctions visées par les présentes directives.</w:t>
      </w:r>
      <w:bookmarkEnd w:id="83"/>
    </w:p>
    <w:p w14:paraId="3B7ED62D" w14:textId="77777777" w:rsidR="00E725BC" w:rsidRDefault="00E725BC" w:rsidP="00073E0A">
      <w:pPr>
        <w:pStyle w:val="Harmonisation-titre2"/>
        <w:rPr>
          <w:rStyle w:val="Aucun"/>
          <w:lang w:val="fr-CA"/>
        </w:rPr>
      </w:pPr>
      <w:bookmarkStart w:id="84" w:name="_Toc154072899"/>
      <w:r>
        <w:rPr>
          <w:rStyle w:val="Aucun"/>
          <w:lang w:val="fr-CA"/>
        </w:rPr>
        <w:t>Communications avec un juge ou le tribunal</w:t>
      </w:r>
      <w:bookmarkEnd w:id="84"/>
    </w:p>
    <w:p w14:paraId="0BEB4A5A" w14:textId="77777777" w:rsidR="00E725BC" w:rsidRPr="00E725BC" w:rsidRDefault="00E725BC" w:rsidP="005977BA">
      <w:pPr>
        <w:pStyle w:val="Harmonisation-paragraphe"/>
        <w:rPr>
          <w:rStyle w:val="Aucun"/>
          <w:lang w:val="fr-CA"/>
        </w:rPr>
      </w:pPr>
      <w:r w:rsidRPr="00E725BC">
        <w:rPr>
          <w:rStyle w:val="Aucun"/>
          <w:lang w:val="fr-CA"/>
        </w:rPr>
        <w:t>Les communications avec un juge ou le tribunal doivent préférablement être transmises par courriel</w:t>
      </w:r>
      <w:r w:rsidR="00352C80">
        <w:rPr>
          <w:rStyle w:val="Aucun"/>
          <w:lang w:val="fr-CA"/>
        </w:rPr>
        <w:t>, en précisant dans l’objet le numéro de dossier et le nom des parties</w:t>
      </w:r>
      <w:r w:rsidRPr="00E725BC">
        <w:rPr>
          <w:rStyle w:val="Aucun"/>
          <w:lang w:val="fr-CA"/>
        </w:rPr>
        <w:t>.</w:t>
      </w:r>
    </w:p>
    <w:p w14:paraId="5C90158B" w14:textId="77777777" w:rsidR="00E725BC" w:rsidRPr="00E725BC" w:rsidRDefault="00E725BC" w:rsidP="005977BA">
      <w:pPr>
        <w:pStyle w:val="Harmonisation-paragraphe"/>
        <w:rPr>
          <w:rStyle w:val="Aucun"/>
          <w:lang w:val="fr-CA"/>
        </w:rPr>
      </w:pPr>
      <w:r w:rsidRPr="00E725BC">
        <w:rPr>
          <w:rStyle w:val="Aucun"/>
          <w:lang w:val="fr-CA"/>
        </w:rPr>
        <w:t>Les parties doivent s’attendre à ce que le juge ou le tribunal ne prenne connaissance du courriel que durant les heures normales de travail.</w:t>
      </w:r>
    </w:p>
    <w:p w14:paraId="1E974DD7" w14:textId="77777777" w:rsidR="00E725BC" w:rsidRPr="00E725BC" w:rsidRDefault="00E725BC" w:rsidP="005977BA">
      <w:pPr>
        <w:pStyle w:val="Harmonisation-paragraphe"/>
        <w:rPr>
          <w:rStyle w:val="Aucun"/>
          <w:lang w:val="fr-CA"/>
        </w:rPr>
      </w:pPr>
      <w:r w:rsidRPr="00E725BC">
        <w:rPr>
          <w:rStyle w:val="Aucun"/>
          <w:lang w:val="fr-CA"/>
        </w:rPr>
        <w:t>Lorsqu’une partie communique avec un juge ou le tribunal, elle doit mettre en copie les autres parties.</w:t>
      </w:r>
    </w:p>
    <w:p w14:paraId="2D91EA81" w14:textId="2B4F4FF2" w:rsidR="00E725BC" w:rsidRPr="00E725BC" w:rsidRDefault="00E725BC" w:rsidP="005977BA">
      <w:pPr>
        <w:pStyle w:val="Harmonisation-paragraphe"/>
        <w:rPr>
          <w:rStyle w:val="Aucun"/>
          <w:lang w:val="fr-CA"/>
        </w:rPr>
      </w:pPr>
      <w:r w:rsidRPr="00E725BC">
        <w:rPr>
          <w:rStyle w:val="Aucun"/>
          <w:lang w:val="fr-CA"/>
        </w:rPr>
        <w:t>L’utilisation du courriel ne dispense pas une partie de déposer ses actes de procédure</w:t>
      </w:r>
      <w:r w:rsidR="00663076">
        <w:rPr>
          <w:rStyle w:val="Aucun"/>
          <w:lang w:val="fr-CA"/>
        </w:rPr>
        <w:t>, pièces</w:t>
      </w:r>
      <w:r w:rsidRPr="00E725BC">
        <w:rPr>
          <w:rStyle w:val="Aucun"/>
          <w:lang w:val="fr-CA"/>
        </w:rPr>
        <w:t xml:space="preserve"> et éléments de preuve au greffe, conformément aux règles prévues au </w:t>
      </w:r>
      <w:hyperlink r:id="rId40" w:history="1">
        <w:r w:rsidR="00D02BDD" w:rsidRPr="003B6941">
          <w:rPr>
            <w:rStyle w:val="Lienhypertexte"/>
            <w:i/>
          </w:rPr>
          <w:t>Code de procédure civile</w:t>
        </w:r>
      </w:hyperlink>
      <w:r w:rsidRPr="00E725BC">
        <w:rPr>
          <w:rStyle w:val="Aucun"/>
          <w:lang w:val="fr-CA"/>
        </w:rPr>
        <w:t xml:space="preserve"> et aux présentes directives.</w:t>
      </w:r>
    </w:p>
    <w:p w14:paraId="51DE0F95" w14:textId="77777777" w:rsidR="00E725BC" w:rsidRPr="00E725BC" w:rsidRDefault="00E725BC" w:rsidP="005977BA">
      <w:pPr>
        <w:pStyle w:val="Harmonisation-paragraphe"/>
        <w:rPr>
          <w:rStyle w:val="Aucun"/>
          <w:lang w:val="fr-CA"/>
        </w:rPr>
      </w:pPr>
      <w:r w:rsidRPr="00E725BC">
        <w:rPr>
          <w:rStyle w:val="Aucun"/>
          <w:lang w:val="fr-CA"/>
        </w:rPr>
        <w:t>Lorsque plusieurs parties sont impliquées dans le même dossier, elles doivent se concerter afin de déterminer si une seule communication conjointe est suffisante pour éviter que le juge ou le tribunal ne reçoive une succession de courriels.</w:t>
      </w:r>
    </w:p>
    <w:p w14:paraId="4F08B439" w14:textId="77777777" w:rsidR="00CC58AD" w:rsidRDefault="00BE36C9" w:rsidP="00BE36C9">
      <w:pPr>
        <w:pStyle w:val="Harmonisation-titre1"/>
      </w:pPr>
      <w:bookmarkStart w:id="85" w:name="_Toc88053910"/>
      <w:bookmarkStart w:id="86" w:name="_Toc154072900"/>
      <w:r>
        <w:t>CHAMBRE DES CONFÉRENCES DE RÈGLEMENT À L’AMIABLE</w:t>
      </w:r>
      <w:bookmarkEnd w:id="85"/>
      <w:bookmarkEnd w:id="86"/>
    </w:p>
    <w:p w14:paraId="1BF6DA88" w14:textId="3222CCDB" w:rsidR="00984F59" w:rsidRPr="002E0B07" w:rsidRDefault="00984F59" w:rsidP="005977BA">
      <w:pPr>
        <w:pStyle w:val="Harmonisation-paragraphe"/>
      </w:pPr>
      <w:bookmarkStart w:id="87" w:name="_Toc177"/>
      <w:r w:rsidRPr="006921BC">
        <w:t>Afin</w:t>
      </w:r>
      <w:r w:rsidRPr="00984F59">
        <w:rPr>
          <w:rStyle w:val="Aucun"/>
          <w:color w:val="auto"/>
          <w:lang w:val="fr-CA"/>
        </w:rPr>
        <w:t xml:space="preserve"> </w:t>
      </w:r>
      <w:r w:rsidRPr="006921BC">
        <w:t>d'assurer</w:t>
      </w:r>
      <w:r w:rsidRPr="00984F59">
        <w:rPr>
          <w:rStyle w:val="Aucun"/>
          <w:color w:val="auto"/>
          <w:lang w:val="fr-CA"/>
        </w:rPr>
        <w:t xml:space="preserve"> </w:t>
      </w:r>
      <w:r w:rsidRPr="006921BC">
        <w:t>l'usage</w:t>
      </w:r>
      <w:r w:rsidRPr="00984F59">
        <w:rPr>
          <w:rStyle w:val="Aucun"/>
          <w:color w:val="auto"/>
          <w:lang w:val="fr-CA"/>
        </w:rPr>
        <w:t xml:space="preserve"> </w:t>
      </w:r>
      <w:r w:rsidRPr="006921BC">
        <w:t>efficace</w:t>
      </w:r>
      <w:r w:rsidRPr="00984F59">
        <w:rPr>
          <w:rStyle w:val="Aucun"/>
          <w:color w:val="auto"/>
          <w:lang w:val="fr-CA"/>
        </w:rPr>
        <w:t xml:space="preserve"> </w:t>
      </w:r>
      <w:r w:rsidRPr="006921BC">
        <w:t>des</w:t>
      </w:r>
      <w:r w:rsidRPr="00984F59">
        <w:rPr>
          <w:rStyle w:val="Aucun"/>
          <w:color w:val="auto"/>
          <w:lang w:val="fr-CA"/>
        </w:rPr>
        <w:t xml:space="preserve"> </w:t>
      </w:r>
      <w:r w:rsidRPr="006921BC">
        <w:t xml:space="preserve">ressources, les parties doivent coopérer pour se soumettre à une conférence de règlement à l’amiable le plus tôt possible avant la fixation d’une date de procès. </w:t>
      </w:r>
      <w:r w:rsidR="005A5B19">
        <w:t xml:space="preserve">Si la date </w:t>
      </w:r>
      <w:r w:rsidR="005A5B19" w:rsidRPr="00C7272D">
        <w:t xml:space="preserve">de </w:t>
      </w:r>
      <w:r w:rsidR="002E1B29" w:rsidRPr="00C7272D">
        <w:t xml:space="preserve">l’instruction </w:t>
      </w:r>
      <w:r w:rsidR="005A5B19" w:rsidRPr="00C7272D">
        <w:t>a été</w:t>
      </w:r>
      <w:r w:rsidR="005A5B19">
        <w:t xml:space="preserve"> fixée, mais que</w:t>
      </w:r>
      <w:r w:rsidR="00C637CE">
        <w:t xml:space="preserve"> des circonstances exceptionnelles le justifient, </w:t>
      </w:r>
      <w:r w:rsidRPr="002E0B07">
        <w:t>les parties doivent obtenir l’autorisation d’un juge pour la tenue d’une telle conférence.</w:t>
      </w:r>
      <w:bookmarkEnd w:id="87"/>
      <w:r w:rsidR="00D420DC" w:rsidRPr="002E0B07">
        <w:t> </w:t>
      </w:r>
    </w:p>
    <w:p w14:paraId="682A557E" w14:textId="0A925CC1" w:rsidR="00AD6DA7" w:rsidRDefault="00B672BC" w:rsidP="009D4A0A">
      <w:pPr>
        <w:pStyle w:val="Harmonisation-paragraphe"/>
        <w:keepNext/>
        <w:keepLines/>
      </w:pPr>
      <w:r w:rsidRPr="002E0B07">
        <w:t xml:space="preserve">Toute demande de conférence de règlement à l’amiable doit s’effectuer en remplissant le </w:t>
      </w:r>
      <w:hyperlink r:id="rId41" w:history="1">
        <w:r w:rsidRPr="002E0B07">
          <w:t>formulaire approprié</w:t>
        </w:r>
      </w:hyperlink>
      <w:r w:rsidR="00D420DC" w:rsidRPr="002E0B07">
        <w:t xml:space="preserve"> (</w:t>
      </w:r>
      <w:hyperlink r:id="rId42" w:history="1">
        <w:r w:rsidR="00D555E4" w:rsidRPr="005D3804">
          <w:rPr>
            <w:rStyle w:val="Lienhypertexte"/>
          </w:rPr>
          <w:t>annexe</w:t>
        </w:r>
        <w:r w:rsidR="005D3804" w:rsidRPr="005D3804">
          <w:rPr>
            <w:rStyle w:val="Lienhypertexte"/>
          </w:rPr>
          <w:t xml:space="preserve"> Division</w:t>
        </w:r>
        <w:r w:rsidR="00D555E4" w:rsidRPr="005D3804">
          <w:rPr>
            <w:rStyle w:val="Lienhypertexte"/>
          </w:rPr>
          <w:t xml:space="preserve"> 8</w:t>
        </w:r>
      </w:hyperlink>
      <w:r w:rsidR="0061482A">
        <w:t>)</w:t>
      </w:r>
      <w:r w:rsidR="002330B9">
        <w:t>.</w:t>
      </w:r>
      <w:r w:rsidR="00FE1AF5">
        <w:t xml:space="preserve"> Les parties ont la responsabilité de déposer ce formulaire au dossier de la Cour.</w:t>
      </w:r>
    </w:p>
    <w:p w14:paraId="2BFD0E96" w14:textId="424BC0BB" w:rsidR="001624B1" w:rsidRPr="005977BA" w:rsidRDefault="001624B1" w:rsidP="009D4A0A">
      <w:pPr>
        <w:pStyle w:val="paragraphenumrot"/>
        <w:keepNext/>
        <w:keepLines/>
        <w:widowControl/>
        <w:numPr>
          <w:ilvl w:val="0"/>
          <w:numId w:val="0"/>
        </w:numPr>
        <w:spacing w:after="0"/>
        <w:ind w:left="709"/>
        <w:rPr>
          <w:rStyle w:val="ModifCar"/>
        </w:rPr>
      </w:pPr>
      <w:r w:rsidRPr="001624B1">
        <w:rPr>
          <w:rFonts w:eastAsia="Arial Unicode MS"/>
          <w:b/>
          <w:bCs/>
          <w:i/>
          <w:iCs/>
          <w:sz w:val="20"/>
          <w:szCs w:val="20"/>
        </w:rPr>
        <w:t>Modification : 1</w:t>
      </w:r>
      <w:r w:rsidR="005977BA" w:rsidRPr="005977BA">
        <w:rPr>
          <w:rFonts w:eastAsia="Arial Unicode MS"/>
          <w:b/>
          <w:bCs/>
          <w:i/>
          <w:iCs/>
          <w:sz w:val="20"/>
          <w:szCs w:val="20"/>
          <w:vertAlign w:val="superscript"/>
        </w:rPr>
        <w:t>er</w:t>
      </w:r>
      <w:r w:rsidR="005977BA">
        <w:rPr>
          <w:rFonts w:eastAsia="Arial Unicode MS"/>
          <w:b/>
          <w:bCs/>
          <w:i/>
          <w:iCs/>
          <w:sz w:val="20"/>
          <w:szCs w:val="20"/>
        </w:rPr>
        <w:t xml:space="preserve"> </w:t>
      </w:r>
      <w:r w:rsidRPr="001624B1">
        <w:rPr>
          <w:rFonts w:eastAsia="Arial Unicode MS"/>
          <w:b/>
          <w:bCs/>
          <w:i/>
          <w:iCs/>
          <w:sz w:val="20"/>
          <w:szCs w:val="20"/>
        </w:rPr>
        <w:t>septembre 2023</w:t>
      </w:r>
    </w:p>
    <w:p w14:paraId="193868C2" w14:textId="77777777" w:rsidR="00F225DA" w:rsidRPr="00F225DA" w:rsidRDefault="00F225DA" w:rsidP="000D204E">
      <w:pPr>
        <w:pStyle w:val="paragraphenumrot"/>
        <w:widowControl/>
        <w:numPr>
          <w:ilvl w:val="0"/>
          <w:numId w:val="0"/>
        </w:numPr>
        <w:spacing w:after="0"/>
        <w:ind w:left="634"/>
        <w:rPr>
          <w:rFonts w:eastAsia="Arial Unicode MS"/>
          <w:b/>
          <w:bCs/>
          <w:i/>
          <w:iCs/>
          <w:sz w:val="20"/>
          <w:szCs w:val="20"/>
        </w:rPr>
      </w:pPr>
    </w:p>
    <w:p w14:paraId="3B1EA48E" w14:textId="7C19B736" w:rsidR="00E32F84" w:rsidRPr="002E0B07" w:rsidRDefault="00E32F84" w:rsidP="000D204E">
      <w:pPr>
        <w:pStyle w:val="Harmonisation-paragraphe"/>
      </w:pPr>
      <w:r>
        <w:t>Les parties doivent avoir échangé tous les documents utiles au règlement du litige préalablement à la transmission de leur demande de</w:t>
      </w:r>
      <w:r w:rsidR="005A40FB">
        <w:t xml:space="preserve"> conférence de règlement à l’amiable</w:t>
      </w:r>
      <w:r>
        <w:t>.</w:t>
      </w:r>
    </w:p>
    <w:p w14:paraId="219BB700" w14:textId="77777777" w:rsidR="00B32861" w:rsidRDefault="00413A11" w:rsidP="00B32861">
      <w:pPr>
        <w:pStyle w:val="Harmonisation-titre1"/>
      </w:pPr>
      <w:bookmarkStart w:id="88" w:name="_Toc88053911"/>
      <w:bookmarkStart w:id="89" w:name="_Toc154072901"/>
      <w:r>
        <w:lastRenderedPageBreak/>
        <w:t>CHAMBRE DES ACTIONS COLLECTIVES</w:t>
      </w:r>
      <w:bookmarkEnd w:id="88"/>
      <w:bookmarkEnd w:id="89"/>
    </w:p>
    <w:p w14:paraId="6DC8458D" w14:textId="77777777" w:rsidR="003A4138" w:rsidRDefault="003A4138" w:rsidP="005977BA">
      <w:pPr>
        <w:pStyle w:val="Harmonisation-paragraphe"/>
      </w:pPr>
      <w:r>
        <w:t>Les demandes d’autorisation d’exercer une action collective sont accompagnées d’un avis de présentation qui ne comporte pas de date de présentation. L’avis mentionne ce qui suit :</w:t>
      </w:r>
    </w:p>
    <w:p w14:paraId="37212829" w14:textId="77777777" w:rsidR="003A4138" w:rsidRPr="00EA5A8F" w:rsidRDefault="003A4138" w:rsidP="002330B9">
      <w:pPr>
        <w:pStyle w:val="Citation"/>
        <w:spacing w:after="240"/>
        <w:ind w:right="663"/>
      </w:pPr>
      <w:r w:rsidRPr="00B556AA">
        <w:rPr>
          <w:b/>
        </w:rPr>
        <w:t>PRENEZ AVIS</w:t>
      </w:r>
      <w:r w:rsidR="00B556AA">
        <w:t xml:space="preserve"> que la présente demande d’autorisation d’exercer une action collective</w:t>
      </w:r>
      <w:r w:rsidR="00EA5A8F">
        <w:t xml:space="preserve"> </w:t>
      </w:r>
      <w:r w:rsidR="00EA5A8F" w:rsidRPr="00EA5A8F">
        <w:rPr>
          <w:rStyle w:val="Aucun"/>
          <w:lang w:val="fr-CA"/>
        </w:rPr>
        <w:t>sera présentée devant la Cour supérieure au Palais de justice de ________, situé au ________, dans la ville et le district de ________, à une date à être déterminée par le juge coordonnateur de la chambre des actions collectives.</w:t>
      </w:r>
    </w:p>
    <w:p w14:paraId="0E0E8324" w14:textId="587FAF08" w:rsidR="003A4138" w:rsidRDefault="00EA5A8F" w:rsidP="005977BA">
      <w:pPr>
        <w:pStyle w:val="Harmonisation-paragraphe"/>
      </w:pPr>
      <w:bookmarkStart w:id="90" w:name="_Toc288"/>
      <w:r w:rsidRPr="00574F67">
        <w:t xml:space="preserve">En plus des exigences de l'article 55 du </w:t>
      </w:r>
      <w:hyperlink r:id="rId43" w:history="1">
        <w:r w:rsidR="006641BF" w:rsidRPr="00BB10B3">
          <w:rPr>
            <w:rStyle w:val="Lienhypertexte"/>
            <w:i/>
          </w:rPr>
          <w:t>Règlement de la Cour supérieure du Québec en matière civile</w:t>
        </w:r>
      </w:hyperlink>
      <w:r w:rsidRPr="00574F67">
        <w:t xml:space="preserve">, les parties ou leurs avocats sont tenus, lorsqu'une demande d'autorisation d'exercer une action collective est déposée ou lorsqu'ils déposent une réponse en lien avec une telle demande, de transmettre au juge coordonnateur de la Chambre des actions collectives </w:t>
      </w:r>
      <w:r w:rsidR="007A7852">
        <w:t>tout</w:t>
      </w:r>
      <w:r w:rsidR="006B543A">
        <w:t>e</w:t>
      </w:r>
      <w:r w:rsidR="007A7852">
        <w:t xml:space="preserve"> </w:t>
      </w:r>
      <w:r w:rsidRPr="00574F67">
        <w:t>autre demande d'autorisation ou de certification d'exercer une action collective dont ils ont connaissance et qui porte en tout ou en partie sur le même objet ou sur un sujet connexe à la demande d'autorisation.</w:t>
      </w:r>
      <w:bookmarkEnd w:id="90"/>
    </w:p>
    <w:p w14:paraId="5DC9B22D" w14:textId="77777777" w:rsidR="00EA5A8F" w:rsidRDefault="00EA5A8F" w:rsidP="00073E0A">
      <w:pPr>
        <w:pStyle w:val="Harmonisation-titre2"/>
      </w:pPr>
      <w:bookmarkStart w:id="91" w:name="_Toc88053912"/>
      <w:bookmarkStart w:id="92" w:name="_Toc154072902"/>
      <w:r>
        <w:t>Demande pour mode spécial de signification</w:t>
      </w:r>
      <w:bookmarkEnd w:id="91"/>
      <w:bookmarkEnd w:id="92"/>
    </w:p>
    <w:p w14:paraId="1DC547BC" w14:textId="77777777" w:rsidR="00EA5A8F" w:rsidRDefault="00076D3D" w:rsidP="005977BA">
      <w:pPr>
        <w:pStyle w:val="Harmonisation-paragraphe"/>
      </w:pPr>
      <w:bookmarkStart w:id="93" w:name="_Toc290"/>
      <w:r w:rsidRPr="00574F67">
        <w:t>Toute demande pour mode spécial de signification doit être présentée au juge coordonnateur de la Chambre des actions collectives ou, le cas échéant, au juge désigné pour entendre l'affaire conformément à l'article 572</w:t>
      </w:r>
      <w:r>
        <w:t> </w:t>
      </w:r>
      <w:r w:rsidRPr="00574F67">
        <w:t>C.p.c.</w:t>
      </w:r>
      <w:bookmarkEnd w:id="93"/>
    </w:p>
    <w:p w14:paraId="345DB38A" w14:textId="77777777" w:rsidR="008E0C51" w:rsidRDefault="00CC2139" w:rsidP="00073E0A">
      <w:pPr>
        <w:pStyle w:val="Harmonisation-titre2"/>
      </w:pPr>
      <w:bookmarkStart w:id="94" w:name="_Toc154072903"/>
      <w:r>
        <w:t>Gestion particulière</w:t>
      </w:r>
      <w:bookmarkEnd w:id="94"/>
    </w:p>
    <w:p w14:paraId="09BD9079" w14:textId="77777777" w:rsidR="00076D3D" w:rsidRDefault="008E0C51" w:rsidP="005977BA">
      <w:pPr>
        <w:pStyle w:val="Harmonisation-paragraphe"/>
      </w:pPr>
      <w:r w:rsidRPr="00574F67">
        <w:t xml:space="preserve">La demande d'autorisation d'exercer une action collective est assignée à un </w:t>
      </w:r>
      <w:r w:rsidR="00CC2139" w:rsidRPr="00574F67">
        <w:t>juge</w:t>
      </w:r>
      <w:r w:rsidR="00CC2139">
        <w:t xml:space="preserve"> qui en</w:t>
      </w:r>
      <w:r w:rsidR="00CC2139" w:rsidRPr="00574F67">
        <w:t xml:space="preserve"> assure la gestion particulière de l'instance et entend toute la procédure relative à la demande d'autorisation d'exercer l'action collective et en dispose</w:t>
      </w:r>
      <w:r w:rsidR="002D3D0E">
        <w:t>, conformément à l’article 572 C.p.c.</w:t>
      </w:r>
    </w:p>
    <w:p w14:paraId="485C358B" w14:textId="7FF3A42D" w:rsidR="008E0C51" w:rsidRDefault="008E0C51" w:rsidP="005977BA">
      <w:pPr>
        <w:pStyle w:val="Harmonisation-paragraphe"/>
      </w:pPr>
      <w:r w:rsidRPr="00574F67">
        <w:t xml:space="preserve">Sauf </w:t>
      </w:r>
      <w:r w:rsidR="00B678EB">
        <w:t>exception autorisée par le tribunal</w:t>
      </w:r>
      <w:r w:rsidRPr="00574F67">
        <w:t xml:space="preserve">, les parties </w:t>
      </w:r>
      <w:r w:rsidR="00B678EB">
        <w:t>peuvent</w:t>
      </w:r>
      <w:r w:rsidRPr="00574F67">
        <w:t xml:space="preserve"> produire des représentations écrites d'au plus 10 pages en regard des moyens préliminaires qu'elles présentent ou qu'elles contestent, dont les demandes pour permission de présenter une preuve appropriée en vertu de l'article 574</w:t>
      </w:r>
      <w:r w:rsidR="00A43B9B">
        <w:t xml:space="preserve"> al. </w:t>
      </w:r>
      <w:r w:rsidR="00AC6117">
        <w:t xml:space="preserve">3 </w:t>
      </w:r>
      <w:r w:rsidRPr="00574F67">
        <w:t>C.p.c.</w:t>
      </w:r>
    </w:p>
    <w:p w14:paraId="147EE932" w14:textId="163CC500" w:rsidR="009B3532" w:rsidRDefault="009B3532" w:rsidP="005977BA">
      <w:pPr>
        <w:pStyle w:val="Harmonisation-paragraphe"/>
      </w:pPr>
      <w:r>
        <w:t xml:space="preserve">Sauf </w:t>
      </w:r>
      <w:r w:rsidR="00B678EB">
        <w:t>exception autorisée par le tribunal</w:t>
      </w:r>
      <w:r>
        <w:t xml:space="preserve">, les parties doivent produire des représentations écrites d’au plus 30 pages </w:t>
      </w:r>
      <w:r w:rsidRPr="00C7272D">
        <w:t xml:space="preserve">pour </w:t>
      </w:r>
      <w:r w:rsidR="000E033C" w:rsidRPr="00C7272D">
        <w:t>l’</w:t>
      </w:r>
      <w:r w:rsidR="000E033C">
        <w:t xml:space="preserve">audience </w:t>
      </w:r>
      <w:r>
        <w:t>de la demande d’autorisation d’exercer une action collective.</w:t>
      </w:r>
      <w:r w:rsidR="00B678EB">
        <w:t xml:space="preserve"> Dans le cas où il y a plusieurs défendeurs, le tribunal peut permettre au demandeur : 1) d’avoir un plan d’une longueur équivalente au total de la longueur des plans des défendeurs combinés; ou 2) d’avoir une réplique d’une longueur égale au </w:t>
      </w:r>
      <w:r w:rsidR="00B678EB">
        <w:lastRenderedPageBreak/>
        <w:t>total de la longueur des plans des défendeurs combinés (moins de 30 pages). Le but recherché est d’obtenir un équilibre entre la demande et la défense.</w:t>
      </w:r>
    </w:p>
    <w:p w14:paraId="63C4D284" w14:textId="77777777" w:rsidR="008E0C51" w:rsidRDefault="008E0C51" w:rsidP="005977BA">
      <w:pPr>
        <w:pStyle w:val="Harmonisation-paragraphe"/>
      </w:pPr>
      <w:r w:rsidRPr="00574F67">
        <w:t xml:space="preserve">Les représentations écrites </w:t>
      </w:r>
      <w:r w:rsidR="009B3532">
        <w:t xml:space="preserve">et les sources </w:t>
      </w:r>
      <w:r w:rsidRPr="00574F67">
        <w:t>doivent être produites dans le délai et selon les modalités établi</w:t>
      </w:r>
      <w:r>
        <w:t>e</w:t>
      </w:r>
      <w:r w:rsidRPr="00574F67">
        <w:t>s par le juge désigné pour entendre l'affaire.</w:t>
      </w:r>
    </w:p>
    <w:p w14:paraId="10CD0A5E" w14:textId="345E3C3C" w:rsidR="008E0C51" w:rsidRDefault="008E0C51" w:rsidP="005977BA">
      <w:pPr>
        <w:pStyle w:val="Harmonisation-paragraphe"/>
      </w:pPr>
      <w:bookmarkStart w:id="95" w:name="_Toc294"/>
      <w:r w:rsidRPr="00574F67">
        <w:t xml:space="preserve">Le juge peut proposer aux parties de rendre jugement sur </w:t>
      </w:r>
      <w:r w:rsidR="00D00FF5">
        <w:t>un</w:t>
      </w:r>
      <w:r w:rsidR="00D00FF5" w:rsidRPr="00574F67">
        <w:t xml:space="preserve"> </w:t>
      </w:r>
      <w:r w:rsidRPr="00574F67">
        <w:t>moyen préliminaire</w:t>
      </w:r>
      <w:r w:rsidR="00D00FF5">
        <w:t>,</w:t>
      </w:r>
      <w:r w:rsidRPr="00574F67">
        <w:t xml:space="preserve"> </w:t>
      </w:r>
      <w:r w:rsidR="00D00FF5">
        <w:t>une</w:t>
      </w:r>
      <w:r w:rsidRPr="00574F67">
        <w:t xml:space="preserve"> demande pour permission de présenter une preuve appropriée </w:t>
      </w:r>
      <w:r w:rsidR="00D00FF5">
        <w:t xml:space="preserve">ou une demande d’approbation d’avis, </w:t>
      </w:r>
      <w:r w:rsidRPr="00574F67">
        <w:t xml:space="preserve">sur la base uniquement des représentations écrites, et ce, sans </w:t>
      </w:r>
      <w:r w:rsidR="000E033C">
        <w:t>audience</w:t>
      </w:r>
      <w:r w:rsidRPr="00574F67">
        <w:t>.</w:t>
      </w:r>
      <w:bookmarkEnd w:id="95"/>
    </w:p>
    <w:p w14:paraId="251367A8" w14:textId="77777777" w:rsidR="009B3532" w:rsidRDefault="008E0C51" w:rsidP="005977BA">
      <w:pPr>
        <w:pStyle w:val="Harmonisation-paragraphe"/>
      </w:pPr>
      <w:r w:rsidRPr="00574F67">
        <w:t>Sauf si les circonstances le justifient, la demande d'autorisation d'exercer une action collective est entendue dans l'année suivant son dépôt</w:t>
      </w:r>
      <w:r>
        <w:t>.</w:t>
      </w:r>
    </w:p>
    <w:p w14:paraId="747C51A6" w14:textId="77777777" w:rsidR="009B3532" w:rsidRDefault="009B3532" w:rsidP="00073E0A">
      <w:pPr>
        <w:pStyle w:val="Harmonisation-titre2"/>
      </w:pPr>
      <w:bookmarkStart w:id="96" w:name="_Toc154072904"/>
      <w:r>
        <w:t>Exclusions</w:t>
      </w:r>
      <w:bookmarkEnd w:id="96"/>
    </w:p>
    <w:p w14:paraId="6055414B" w14:textId="77777777" w:rsidR="009B3532" w:rsidRDefault="009B3532" w:rsidP="005977BA">
      <w:pPr>
        <w:pStyle w:val="Harmonisation-paragraphe"/>
      </w:pPr>
      <w:r>
        <w:t xml:space="preserve">Outre ce qui est déjà prévu à l’article 580 C.p.c., l’avocat d’une partie ou la partie qui a connaissance d’une exclusion formulée par un membre doit en soumettre, après l’expiration de la date limite d’exclusion, une copie au juge gestionnaire comme pièce jointe à une déclaration </w:t>
      </w:r>
      <w:r w:rsidR="005A5B19">
        <w:t>sous serment</w:t>
      </w:r>
      <w:r>
        <w:t xml:space="preserve"> avec la date de réception.</w:t>
      </w:r>
    </w:p>
    <w:p w14:paraId="41B6BAFB" w14:textId="77777777" w:rsidR="008E0C51" w:rsidRDefault="008E0C51" w:rsidP="00073E0A">
      <w:pPr>
        <w:pStyle w:val="Harmonisation-titre2"/>
      </w:pPr>
      <w:bookmarkStart w:id="97" w:name="_Toc88053914"/>
      <w:bookmarkStart w:id="98" w:name="_Toc154072905"/>
      <w:r>
        <w:t>Demande d’action collective (stade du fond)</w:t>
      </w:r>
      <w:bookmarkEnd w:id="97"/>
      <w:bookmarkEnd w:id="98"/>
    </w:p>
    <w:p w14:paraId="1A2FF5C5" w14:textId="77777777" w:rsidR="008E0C51" w:rsidRDefault="000B5BFC" w:rsidP="005977BA">
      <w:pPr>
        <w:pStyle w:val="Harmonisation-paragraphe"/>
      </w:pPr>
      <w:bookmarkStart w:id="99" w:name="_Toc297"/>
      <w:r w:rsidRPr="00574F67">
        <w:t>Si la demande d'autorisation d'exercer une action collective est accueillie et qu'une demande d'action collective est produite, cette demande constitue une action ordinaire</w:t>
      </w:r>
      <w:r w:rsidR="00FF5E50">
        <w:t xml:space="preserve"> dont la gestion particulière est assumée</w:t>
      </w:r>
      <w:r w:rsidR="00CB540C">
        <w:t xml:space="preserve"> jusqu’à la mise en état du dossier</w:t>
      </w:r>
      <w:r w:rsidR="00FF5E50">
        <w:t xml:space="preserve"> par le même juge qui a disposé de la demande d’autorisation.</w:t>
      </w:r>
      <w:bookmarkEnd w:id="99"/>
    </w:p>
    <w:p w14:paraId="3CF43E17" w14:textId="77777777" w:rsidR="000B5BFC" w:rsidRDefault="000B5BFC" w:rsidP="005977BA">
      <w:pPr>
        <w:pStyle w:val="Harmonisation-paragraphe"/>
      </w:pPr>
      <w:bookmarkStart w:id="100" w:name="_Toc299"/>
      <w:r w:rsidRPr="00574F67">
        <w:t>Les directives d'application</w:t>
      </w:r>
      <w:r>
        <w:t>s</w:t>
      </w:r>
      <w:r w:rsidRPr="00574F67">
        <w:t xml:space="preserve"> générales énoncées ci-dessus quant au</w:t>
      </w:r>
      <w:r>
        <w:t>x</w:t>
      </w:r>
      <w:r w:rsidRPr="00574F67">
        <w:t xml:space="preserve"> protocole</w:t>
      </w:r>
      <w:r>
        <w:t>s</w:t>
      </w:r>
      <w:r w:rsidRPr="00574F67">
        <w:t xml:space="preserve"> de l'instance s'appliquent également aux actions collectives régies par les articles 583 et suiv</w:t>
      </w:r>
      <w:r>
        <w:t>ants</w:t>
      </w:r>
      <w:r w:rsidRPr="00574F67">
        <w:t xml:space="preserve"> C.p.c.</w:t>
      </w:r>
      <w:bookmarkEnd w:id="100"/>
    </w:p>
    <w:p w14:paraId="00FEC2B0" w14:textId="77777777" w:rsidR="000B5BFC" w:rsidRDefault="000B5BFC" w:rsidP="005977BA">
      <w:pPr>
        <w:pStyle w:val="Harmonisation-paragraphe"/>
      </w:pPr>
      <w:bookmarkStart w:id="101" w:name="_Toc300"/>
      <w:r w:rsidRPr="00574F67">
        <w:t>Sur autorisation du tribunal, si cela s'avère nécessaire, les parties peuvent adapter les étapes ou les cases prévues au formulaire du protocole de l'instance.</w:t>
      </w:r>
      <w:bookmarkEnd w:id="101"/>
    </w:p>
    <w:p w14:paraId="487F949B" w14:textId="682A335B" w:rsidR="001F4769" w:rsidRDefault="001F4769" w:rsidP="005977BA">
      <w:pPr>
        <w:pStyle w:val="Harmonisation-paragraphe"/>
      </w:pPr>
      <w:r>
        <w:t xml:space="preserve">Le juge peut proposer aux parties de rendre jugement sur une demande préliminaire, une demande de publication d’avis ou pour toute question de gestion sur la base uniquement des représentations écrites, et ce, sans </w:t>
      </w:r>
      <w:r w:rsidR="0046449C">
        <w:t>audience</w:t>
      </w:r>
      <w:r>
        <w:t>.</w:t>
      </w:r>
    </w:p>
    <w:p w14:paraId="6174E0C4" w14:textId="77777777" w:rsidR="00FF5E50" w:rsidRDefault="00FF5E50" w:rsidP="005977BA">
      <w:pPr>
        <w:pStyle w:val="Harmonisation-paragraphe"/>
      </w:pPr>
      <w:r>
        <w:t xml:space="preserve">Sauf exception, le procès de la demande d’action collective est présidé par un autre juge que celui qui en a assumé la gestion particulière. </w:t>
      </w:r>
    </w:p>
    <w:p w14:paraId="5BDF9811" w14:textId="77777777" w:rsidR="00121CAB" w:rsidRDefault="00121CAB" w:rsidP="00073E0A">
      <w:pPr>
        <w:pStyle w:val="Harmonisation-titre2"/>
      </w:pPr>
      <w:bookmarkStart w:id="102" w:name="_Toc88053916"/>
      <w:bookmarkStart w:id="103" w:name="_Toc154072906"/>
      <w:r>
        <w:lastRenderedPageBreak/>
        <w:t>Registre central des actions collectives</w:t>
      </w:r>
      <w:bookmarkEnd w:id="102"/>
      <w:bookmarkEnd w:id="103"/>
    </w:p>
    <w:p w14:paraId="2BD9AE5A" w14:textId="39276CD2" w:rsidR="00121CAB" w:rsidRDefault="00121CAB" w:rsidP="005977BA">
      <w:pPr>
        <w:pStyle w:val="Harmonisation-paragraphe"/>
      </w:pPr>
      <w:bookmarkStart w:id="104" w:name="_Toc305"/>
      <w:r w:rsidRPr="00574F67">
        <w:t xml:space="preserve">Les avocats des parties doivent inscrire au registre central des actions collectives toutes les procédures qu'elles déposent au dossier de la </w:t>
      </w:r>
      <w:r w:rsidR="00D94E10">
        <w:t>c</w:t>
      </w:r>
      <w:r w:rsidRPr="00574F67">
        <w:t>our, dont les suivantes</w:t>
      </w:r>
      <w:r>
        <w:t xml:space="preserve"> </w:t>
      </w:r>
      <w:r w:rsidRPr="00574F67">
        <w:t>:</w:t>
      </w:r>
      <w:bookmarkEnd w:id="104"/>
    </w:p>
    <w:p w14:paraId="590274EE" w14:textId="77777777" w:rsidR="00121CAB" w:rsidRDefault="00121CAB" w:rsidP="00E70935">
      <w:pPr>
        <w:pStyle w:val="Harmonisation-a"/>
        <w:numPr>
          <w:ilvl w:val="0"/>
          <w:numId w:val="14"/>
        </w:numPr>
        <w:ind w:left="1276" w:hanging="425"/>
      </w:pPr>
      <w:r>
        <w:t>demande d’autorisation d’exercer une action collective;</w:t>
      </w:r>
    </w:p>
    <w:p w14:paraId="4E4CBE2E" w14:textId="77777777" w:rsidR="00121CAB" w:rsidRDefault="00121CAB" w:rsidP="00711774">
      <w:pPr>
        <w:pStyle w:val="Harmonisation-a"/>
        <w:ind w:left="1276" w:hanging="425"/>
      </w:pPr>
      <w:r>
        <w:t>demande introductive d’instance en action collective;</w:t>
      </w:r>
    </w:p>
    <w:p w14:paraId="7128BDE1" w14:textId="77777777" w:rsidR="00121CAB" w:rsidRDefault="00121CAB" w:rsidP="00711774">
      <w:pPr>
        <w:pStyle w:val="Harmonisation-a"/>
        <w:ind w:left="1276" w:hanging="425"/>
      </w:pPr>
      <w:r>
        <w:t>demandes et autres actes de procédure déposés en cours d’instance;</w:t>
      </w:r>
    </w:p>
    <w:p w14:paraId="43095268" w14:textId="77777777" w:rsidR="00121CAB" w:rsidRDefault="00121CAB" w:rsidP="00711774">
      <w:pPr>
        <w:pStyle w:val="Harmonisation-a"/>
        <w:ind w:left="1276" w:hanging="425"/>
      </w:pPr>
      <w:r>
        <w:t>avis aux membres;</w:t>
      </w:r>
      <w:r w:rsidR="00B678EB">
        <w:t xml:space="preserve"> et</w:t>
      </w:r>
    </w:p>
    <w:p w14:paraId="57AB2863" w14:textId="77777777" w:rsidR="00121CAB" w:rsidRDefault="00121CAB" w:rsidP="00711774">
      <w:pPr>
        <w:pStyle w:val="Harmonisation-a"/>
        <w:ind w:left="1276" w:hanging="425"/>
      </w:pPr>
      <w:r>
        <w:t>rapport d’administration à la suite de l’exécution d’une transaction ou d’un jugement final</w:t>
      </w:r>
      <w:r w:rsidR="00B678EB">
        <w:t>.</w:t>
      </w:r>
    </w:p>
    <w:p w14:paraId="5C39382D" w14:textId="3DDF39FB" w:rsidR="00C927D3" w:rsidRDefault="00C927D3" w:rsidP="005977BA">
      <w:pPr>
        <w:pStyle w:val="Harmonisation-paragraphe"/>
      </w:pPr>
      <w:r w:rsidRPr="00574F67">
        <w:t xml:space="preserve">L'auteur d'un document est responsable de son inscription diligente au registre, et ce, au plus tard dans les cinq jours de son dépôt au dossier de la </w:t>
      </w:r>
      <w:r w:rsidR="00D94E10">
        <w:t>c</w:t>
      </w:r>
      <w:r w:rsidRPr="00574F67">
        <w:t>our</w:t>
      </w:r>
      <w:r>
        <w:t>.</w:t>
      </w:r>
    </w:p>
    <w:p w14:paraId="1A2D0ADD" w14:textId="77777777" w:rsidR="00C927D3" w:rsidRDefault="00C927D3" w:rsidP="005977BA">
      <w:pPr>
        <w:pStyle w:val="Harmonisation-paragraphe"/>
      </w:pPr>
      <w:r w:rsidRPr="00574F67">
        <w:t xml:space="preserve">Quant aux jugements rendus par le tribunal, l'avocat </w:t>
      </w:r>
      <w:r w:rsidR="005A5B19">
        <w:t>de la partie demanderesse</w:t>
      </w:r>
      <w:r w:rsidRPr="00574F67">
        <w:t xml:space="preserve"> est responsable de les inscrire au registre, dans les cinq jours de leur réception</w:t>
      </w:r>
      <w:r>
        <w:t>.</w:t>
      </w:r>
    </w:p>
    <w:p w14:paraId="4D068512" w14:textId="77777777" w:rsidR="00C927D3" w:rsidRDefault="00C927D3" w:rsidP="00073E0A">
      <w:pPr>
        <w:pStyle w:val="Harmonisation-titre2"/>
      </w:pPr>
      <w:bookmarkStart w:id="105" w:name="_Toc88053917"/>
      <w:bookmarkStart w:id="106" w:name="_Toc154072907"/>
      <w:r>
        <w:t xml:space="preserve">Protocole judiciaire canadien de gestion des actions collectives multijuridictionnelles </w:t>
      </w:r>
      <w:r w:rsidR="0003156E">
        <w:t>et de production des avis d’action collective (2018)</w:t>
      </w:r>
      <w:bookmarkEnd w:id="105"/>
      <w:bookmarkEnd w:id="106"/>
    </w:p>
    <w:p w14:paraId="0E2BD3A4" w14:textId="77777777" w:rsidR="0003156E" w:rsidRDefault="0003156E" w:rsidP="005977BA">
      <w:pPr>
        <w:pStyle w:val="Harmonisation-paragraphe"/>
      </w:pPr>
      <w:bookmarkStart w:id="107" w:name="_Toc315"/>
      <w:r w:rsidRPr="00574F67">
        <w:t xml:space="preserve">Bien que le </w:t>
      </w:r>
      <w:r w:rsidRPr="0003156E">
        <w:rPr>
          <w:rStyle w:val="Aucun"/>
          <w:i/>
          <w:iCs/>
          <w:lang w:val="fr-CA"/>
        </w:rPr>
        <w:t>Protocole judiciaire canadien de gestion des actions collectives multijuridictionnelles et de production des avis d'action collective (2018)</w:t>
      </w:r>
      <w:r w:rsidRPr="00574F67">
        <w:t xml:space="preserve"> ne soit pas obligatoire, le tribunal peut, sur demande ou d'office, enjoindre les parties à appliquer ce Protocole et y apporter les adaptations nécessaires.</w:t>
      </w:r>
      <w:bookmarkEnd w:id="107"/>
    </w:p>
    <w:p w14:paraId="4262F4B9" w14:textId="77777777" w:rsidR="0003156E" w:rsidRDefault="0003156E" w:rsidP="00073E0A">
      <w:pPr>
        <w:pStyle w:val="Harmonisation-titre2"/>
      </w:pPr>
      <w:bookmarkStart w:id="108" w:name="_Toc88053918"/>
      <w:bookmarkStart w:id="109" w:name="_Toc154072908"/>
      <w:r>
        <w:t>Communications avec le tribunal</w:t>
      </w:r>
      <w:bookmarkEnd w:id="108"/>
      <w:bookmarkEnd w:id="109"/>
    </w:p>
    <w:p w14:paraId="6953353F" w14:textId="087A98AA" w:rsidR="0003156E" w:rsidRDefault="0003156E" w:rsidP="005977BA">
      <w:pPr>
        <w:pStyle w:val="Harmonisation-paragraphe"/>
      </w:pPr>
      <w:r w:rsidRPr="00574F67">
        <w:t>Les parties ou leurs avocats peuvent transmettre, par courriel, au juge désigné pour entendre l'affaire</w:t>
      </w:r>
      <w:r w:rsidR="00251C7F">
        <w:t>,</w:t>
      </w:r>
      <w:r w:rsidRPr="00574F67">
        <w:t xml:space="preserve"> copie d'un acte de procédure ou d'une pièce. </w:t>
      </w:r>
      <w:r w:rsidR="00CD154F">
        <w:t xml:space="preserve">Le juge désigné peut imposer aux parties ce type de transmission en requérant, lorsque disponible, copie de la version sur logiciel de traitement de texte. </w:t>
      </w:r>
      <w:r w:rsidRPr="00574F67">
        <w:t>Dans tous les cas, l'auteur du document doit déposer l'original de son acte de procédure au greffe de la Cour</w:t>
      </w:r>
      <w:r w:rsidR="00CD154F">
        <w:t xml:space="preserve"> et en notifier la partie adverse selon les règles du C.p.c</w:t>
      </w:r>
      <w:r>
        <w:t>.</w:t>
      </w:r>
    </w:p>
    <w:p w14:paraId="382E9C23" w14:textId="629F3143" w:rsidR="0003156E" w:rsidRDefault="0003156E" w:rsidP="005977BA">
      <w:pPr>
        <w:pStyle w:val="Harmonisation-paragraphe"/>
      </w:pPr>
      <w:bookmarkStart w:id="110" w:name="_Toc318"/>
      <w:r w:rsidRPr="00E31CB7">
        <w:t xml:space="preserve">Les communications avec le tribunal doivent en tout temps demeurer courtoises et dans un cadre formel. Elles doivent être </w:t>
      </w:r>
      <w:r w:rsidR="00BB7A2D">
        <w:t xml:space="preserve">préférablement </w:t>
      </w:r>
      <w:r w:rsidRPr="00E31CB7">
        <w:t>transmises</w:t>
      </w:r>
      <w:r w:rsidR="00BB7A2D">
        <w:t xml:space="preserve"> par courriel</w:t>
      </w:r>
      <w:r w:rsidRPr="00E31CB7">
        <w:t xml:space="preserve">, </w:t>
      </w:r>
      <w:r w:rsidR="00764E66">
        <w:t xml:space="preserve">envoyées durant les heures normales de bureau, </w:t>
      </w:r>
      <w:r w:rsidRPr="00E31CB7">
        <w:t>sauf en cas d'urgence</w:t>
      </w:r>
      <w:r w:rsidR="00764E66">
        <w:t>.</w:t>
      </w:r>
      <w:bookmarkEnd w:id="110"/>
      <w:r w:rsidR="00764E66">
        <w:t xml:space="preserve"> Les parties doivent également s’attendre à ce que le tribunal ne prenne connaissance des courriels que durant les heures normales de </w:t>
      </w:r>
      <w:r w:rsidR="00F806ED">
        <w:t>la cour.</w:t>
      </w:r>
    </w:p>
    <w:p w14:paraId="6F28B3EB" w14:textId="77777777" w:rsidR="0003156E" w:rsidRDefault="0003156E" w:rsidP="005977BA">
      <w:pPr>
        <w:pStyle w:val="Harmonisation-paragraphe"/>
      </w:pPr>
      <w:bookmarkStart w:id="111" w:name="_Toc319"/>
      <w:r w:rsidRPr="00E31CB7">
        <w:lastRenderedPageBreak/>
        <w:t xml:space="preserve">Lorsque plusieurs avocats sont impliqués dans un même dossier, ils doivent se concerter afin de déterminer si une seule communication conjointe peut être transmise au tribunal </w:t>
      </w:r>
      <w:r w:rsidR="00565996">
        <w:t xml:space="preserve">par courriel </w:t>
      </w:r>
      <w:r w:rsidRPr="00E31CB7">
        <w:t>au lieu de plusieurs communications au même effet.</w:t>
      </w:r>
      <w:bookmarkStart w:id="112" w:name="_Toc320"/>
      <w:bookmarkEnd w:id="111"/>
      <w:r w:rsidRPr="00E31CB7">
        <w:t xml:space="preserve"> Le tribunal ne doit pas recevoir une succession de courriels informels ni être mis en copie ou en codestinataire des communications entre avocats</w:t>
      </w:r>
      <w:r w:rsidR="00565996">
        <w:t>, sauf si le juge désigné en indique autrement</w:t>
      </w:r>
      <w:r w:rsidRPr="00E31CB7">
        <w:t>.</w:t>
      </w:r>
      <w:bookmarkEnd w:id="112"/>
    </w:p>
    <w:p w14:paraId="078B29F9" w14:textId="77777777" w:rsidR="00670535" w:rsidRDefault="00670535" w:rsidP="00073E0A">
      <w:pPr>
        <w:pStyle w:val="Harmonisation-titre2"/>
      </w:pPr>
      <w:bookmarkStart w:id="113" w:name="_Toc154072909"/>
      <w:r>
        <w:t>Règlement hors cour</w:t>
      </w:r>
      <w:bookmarkEnd w:id="113"/>
    </w:p>
    <w:p w14:paraId="00D5E2A5" w14:textId="77777777" w:rsidR="00670535" w:rsidRDefault="00670535" w:rsidP="005977BA">
      <w:pPr>
        <w:pStyle w:val="Harmonisation-paragraphe"/>
      </w:pPr>
      <w:r>
        <w:t>Dans le cadre de l’exécution d’une transaction approuvée par le tribunal, les parties doivent demander l’obtention d’un jugement de clôture, en présentant au tribunal une demande, laquelle doit contenir les éléments suivants ou s’en inspirer fortement :</w:t>
      </w:r>
    </w:p>
    <w:p w14:paraId="2864755C" w14:textId="77777777" w:rsidR="00670535" w:rsidRPr="002330B9" w:rsidRDefault="00657182" w:rsidP="002330B9">
      <w:pPr>
        <w:pStyle w:val="Paragraphedeliste"/>
        <w:numPr>
          <w:ilvl w:val="1"/>
          <w:numId w:val="2"/>
        </w:numPr>
        <w:tabs>
          <w:tab w:val="left" w:pos="1276"/>
        </w:tabs>
        <w:spacing w:after="240" w:line="240" w:lineRule="auto"/>
        <w:ind w:hanging="391"/>
        <w:contextualSpacing w:val="0"/>
        <w:rPr>
          <w:rStyle w:val="HarmonisationDB-nombresCar"/>
        </w:rPr>
      </w:pPr>
      <w:r>
        <w:t>Le (date), le Tribunal a :</w:t>
      </w:r>
    </w:p>
    <w:p w14:paraId="30F724B6" w14:textId="77777777" w:rsidR="00657182" w:rsidRPr="002330B9" w:rsidRDefault="00657182" w:rsidP="002330B9">
      <w:pPr>
        <w:pStyle w:val="a"/>
        <w:spacing w:after="240" w:line="240" w:lineRule="auto"/>
        <w:ind w:left="1985" w:hanging="391"/>
        <w:jc w:val="both"/>
        <w:rPr>
          <w:rStyle w:val="HarmonisationDBlettresCar"/>
        </w:rPr>
      </w:pPr>
      <w:r>
        <w:t>ordonné le recouvrement collectif de (montant) avec liquidation individuelle et/ou une mesure réparatrice de la somme de (détailler la mesure réparatrice et le montant; ou</w:t>
      </w:r>
    </w:p>
    <w:p w14:paraId="14483ABD" w14:textId="77777777" w:rsidR="00657182" w:rsidRDefault="00657182" w:rsidP="002330B9">
      <w:pPr>
        <w:pStyle w:val="a"/>
        <w:spacing w:after="240" w:line="240" w:lineRule="auto"/>
        <w:ind w:left="1985" w:hanging="391"/>
        <w:jc w:val="both"/>
      </w:pPr>
      <w:r>
        <w:t>ordonné le recouvrement individuel d’un montant de (montant) par membre du groupe; ou</w:t>
      </w:r>
    </w:p>
    <w:p w14:paraId="320233F9" w14:textId="77777777" w:rsidR="00657182" w:rsidRDefault="00657182" w:rsidP="002330B9">
      <w:pPr>
        <w:pStyle w:val="a"/>
        <w:spacing w:after="240" w:line="240" w:lineRule="auto"/>
        <w:ind w:left="1985" w:hanging="391"/>
        <w:jc w:val="both"/>
      </w:pPr>
      <w:r>
        <w:t>approuvé la transaction qui prévoyait le versement d’une somme de (somme et mode de recouvrement) aux membres du groupe. Une copie de la transaction est déposée comme pièce R-1.</w:t>
      </w:r>
    </w:p>
    <w:p w14:paraId="1990A858" w14:textId="77777777" w:rsidR="00657182" w:rsidRDefault="00657182" w:rsidP="002330B9">
      <w:pPr>
        <w:pStyle w:val="HarmonisationDB-nombres"/>
        <w:ind w:hanging="391"/>
      </w:pPr>
      <w:r>
        <w:t>Les avis aux membres ont été diffusés le (date) par les moyens suivants : (moyens de diffusion des avis).</w:t>
      </w:r>
    </w:p>
    <w:p w14:paraId="5D9701BC" w14:textId="77777777" w:rsidR="00657182" w:rsidRDefault="00657182" w:rsidP="002330B9">
      <w:pPr>
        <w:pStyle w:val="HarmonisationDB-nombres"/>
        <w:ind w:hanging="391"/>
      </w:pPr>
      <w:r>
        <w:t>La pé</w:t>
      </w:r>
      <w:r w:rsidR="00312DF3">
        <w:t>riode de réclamation se terminait le (date).</w:t>
      </w:r>
    </w:p>
    <w:p w14:paraId="052A6F9E" w14:textId="77777777" w:rsidR="00657182" w:rsidRDefault="00312DF3" w:rsidP="002330B9">
      <w:pPr>
        <w:pStyle w:val="HarmonisationDB-nombres"/>
        <w:ind w:hanging="391"/>
      </w:pPr>
      <w:r>
        <w:t>Le rapport d’administration est déposé comme pièce R-</w:t>
      </w:r>
      <w:r w:rsidRPr="002330B9">
        <w:sym w:font="Wingdings 2" w:char="F098"/>
      </w:r>
      <w:r>
        <w:t>.</w:t>
      </w:r>
    </w:p>
    <w:p w14:paraId="4808A1D1" w14:textId="77777777" w:rsidR="00657182" w:rsidRDefault="00312DF3" w:rsidP="002330B9">
      <w:pPr>
        <w:pStyle w:val="HarmonisationDB-nombres"/>
        <w:ind w:hanging="391"/>
      </w:pPr>
      <w:r>
        <w:t>Le nombre de réclamations est de (nombre) et le nombre de membres était évalué à (nombre). Le nombre de réclamations refusées est de (nombre).</w:t>
      </w:r>
    </w:p>
    <w:p w14:paraId="0E34A938" w14:textId="77777777" w:rsidR="00657182" w:rsidRDefault="00312DF3" w:rsidP="002330B9">
      <w:pPr>
        <w:pStyle w:val="HarmonisationDB-nombres"/>
        <w:ind w:hanging="391"/>
      </w:pPr>
      <w:r>
        <w:t>Le nombre de membres qui ont été indemnisés directement, sans avoir à présenter de réclamation, est de (nombre).</w:t>
      </w:r>
    </w:p>
    <w:p w14:paraId="154C781A" w14:textId="77777777" w:rsidR="00312DF3" w:rsidRDefault="00312DF3" w:rsidP="002330B9">
      <w:pPr>
        <w:pStyle w:val="HarmonisationDB-nombres"/>
        <w:ind w:hanging="391"/>
      </w:pPr>
      <w:r>
        <w:t>Les montants totaux qui ont été prélevés sur le montant du recouvrement sont les suivants :</w:t>
      </w:r>
    </w:p>
    <w:p w14:paraId="31A83E1C" w14:textId="77777777" w:rsidR="00312DF3" w:rsidRDefault="00312DF3" w:rsidP="002330B9">
      <w:pPr>
        <w:pStyle w:val="HarmonisationDBlettres"/>
      </w:pPr>
      <w:r>
        <w:t>Frais de justice, y compris les frais d’avis et la rémunération de la personne chargée de la liquidation ou de la distribution : (détailler les montants);</w:t>
      </w:r>
    </w:p>
    <w:p w14:paraId="1E6388A6" w14:textId="77777777" w:rsidR="00312DF3" w:rsidRDefault="00312DF3" w:rsidP="002330B9">
      <w:pPr>
        <w:pStyle w:val="HarmonisationDBlettres"/>
      </w:pPr>
      <w:r>
        <w:lastRenderedPageBreak/>
        <w:t>Honoraires de l’avocat du représentant fixés par le tribunal : (montant);</w:t>
      </w:r>
    </w:p>
    <w:p w14:paraId="6B7DFEED" w14:textId="77777777" w:rsidR="00312DF3" w:rsidRDefault="00312DF3" w:rsidP="002330B9">
      <w:pPr>
        <w:pStyle w:val="HarmonisationDBlettres"/>
      </w:pPr>
      <w:r>
        <w:t>Débours du représentant fixés par le tribunal : (montant).</w:t>
      </w:r>
    </w:p>
    <w:p w14:paraId="5BA9B3E5" w14:textId="77777777" w:rsidR="00312DF3" w:rsidRPr="009D4307" w:rsidRDefault="00C2699A" w:rsidP="002330B9">
      <w:pPr>
        <w:pStyle w:val="HarmonisationDB-nombres"/>
      </w:pPr>
      <w:r>
        <w:t>Le solde de la somme à distribuer aux membres du groupe était de (montant).</w:t>
      </w:r>
    </w:p>
    <w:p w14:paraId="18674451" w14:textId="77777777" w:rsidR="00312DF3" w:rsidRDefault="00C2699A" w:rsidP="002330B9">
      <w:pPr>
        <w:pStyle w:val="HarmonisationDB-nombres"/>
      </w:pPr>
      <w:r>
        <w:t>La somme distribuée aux membres du groupe est de (montant).</w:t>
      </w:r>
    </w:p>
    <w:p w14:paraId="4CB48F06" w14:textId="77777777" w:rsidR="00FB6A88" w:rsidRPr="009D4307" w:rsidRDefault="00FB6A88" w:rsidP="002330B9">
      <w:pPr>
        <w:pStyle w:val="HarmonisationDBneutre"/>
        <w:ind w:left="1701"/>
      </w:pPr>
      <w:r>
        <w:t>Indiquer les choix effectués par les membres, le cas échéant (si différentes modalités disponibles).</w:t>
      </w:r>
    </w:p>
    <w:p w14:paraId="45DFAA7A" w14:textId="77777777" w:rsidR="00FB6A88" w:rsidRDefault="00FB6A88" w:rsidP="002330B9">
      <w:pPr>
        <w:pStyle w:val="HarmonisationDB-nombres"/>
      </w:pPr>
      <w:r>
        <w:t>À l’issue de la distribution, le montant du reliquat était de (montant).</w:t>
      </w:r>
    </w:p>
    <w:p w14:paraId="309BE73C" w14:textId="77777777" w:rsidR="00FB6A88" w:rsidRDefault="00FB6A88" w:rsidP="002330B9">
      <w:pPr>
        <w:pStyle w:val="HarmonisationDBneutre"/>
        <w:ind w:left="1701"/>
      </w:pPr>
      <w:r>
        <w:t>Indiquer les raisons d’un reliquat, le cas échéant.</w:t>
      </w:r>
    </w:p>
    <w:p w14:paraId="6802A543" w14:textId="77777777" w:rsidR="00FB6A88" w:rsidRDefault="00FB6A88" w:rsidP="002330B9">
      <w:pPr>
        <w:pStyle w:val="HarmonisationDB-nombres"/>
      </w:pPr>
      <w:r>
        <w:t>(Si reliquat) Le reliquat a été versé de la manière suivante :</w:t>
      </w:r>
    </w:p>
    <w:p w14:paraId="488AEB95" w14:textId="77777777" w:rsidR="00FB6A88" w:rsidRDefault="00FB6A88" w:rsidP="002330B9">
      <w:pPr>
        <w:pStyle w:val="HarmonisationDBneutre"/>
        <w:ind w:left="1701"/>
      </w:pPr>
      <w:r>
        <w:t>Identifier le bénéficiaire de la somme versée. Détailler si plus d’un bénéficiaire.</w:t>
      </w:r>
    </w:p>
    <w:p w14:paraId="147C90B8" w14:textId="573562C5" w:rsidR="00FB6A88" w:rsidRDefault="00FB6A88" w:rsidP="002330B9">
      <w:pPr>
        <w:pStyle w:val="HarmonisationDB-nombres"/>
      </w:pPr>
      <w:r>
        <w:t>Le montant prélevé par le Fonds d’aide aux actions collectives en vertu du</w:t>
      </w:r>
      <w:r>
        <w:rPr>
          <w:i/>
        </w:rPr>
        <w:t xml:space="preserve"> </w:t>
      </w:r>
      <w:bookmarkStart w:id="114" w:name="_Hlk120611850"/>
      <w:bookmarkStart w:id="115" w:name="_Hlk120611972"/>
      <w:r w:rsidR="005578D5">
        <w:rPr>
          <w:i/>
        </w:rPr>
        <w:fldChar w:fldCharType="begin"/>
      </w:r>
      <w:r w:rsidR="005578D5">
        <w:rPr>
          <w:i/>
        </w:rPr>
        <w:instrText xml:space="preserve"> HYPERLINK "https://www.legisquebec.gouv.qc.ca/fr/document/rc/f-3.2.0.1.1,%20r.%202" </w:instrText>
      </w:r>
      <w:r w:rsidR="005578D5">
        <w:rPr>
          <w:i/>
        </w:rPr>
        <w:fldChar w:fldCharType="separate"/>
      </w:r>
      <w:r w:rsidRPr="005578D5">
        <w:rPr>
          <w:rStyle w:val="Lienhypertexte"/>
          <w:i/>
        </w:rPr>
        <w:t>Règlement sur le pourcentage prélevé par le Fonds d’aide aux actions collectives</w:t>
      </w:r>
      <w:bookmarkEnd w:id="114"/>
      <w:r w:rsidR="005578D5">
        <w:rPr>
          <w:i/>
        </w:rPr>
        <w:fldChar w:fldCharType="end"/>
      </w:r>
      <w:bookmarkEnd w:id="115"/>
      <w:r>
        <w:t xml:space="preserve"> est de (montant).</w:t>
      </w:r>
    </w:p>
    <w:p w14:paraId="09C8914E" w14:textId="77777777" w:rsidR="00FB6A88" w:rsidRDefault="00FB6A88" w:rsidP="002330B9">
      <w:pPr>
        <w:pStyle w:val="HarmonisationDB-nombres"/>
      </w:pPr>
      <w:r>
        <w:t>Le montant de l’aide remboursé au Fonds d’aide aux actions collectives est de (montant) pour les honoraires et (montant) pour les débours, payés à même les honoraires et déboursés déjà reçus.</w:t>
      </w:r>
    </w:p>
    <w:p w14:paraId="6E7B0220" w14:textId="77777777" w:rsidR="00FB6A88" w:rsidRPr="009D4307" w:rsidRDefault="00FB6A88" w:rsidP="002330B9">
      <w:pPr>
        <w:pStyle w:val="HarmonisationDB-nombres"/>
      </w:pPr>
      <w:r>
        <w:t>Si exigé par le tribunal, le rapport de reddition de compte du bénéficiaire du reliquat est déposé comme pièce R-</w:t>
      </w:r>
      <w:r w:rsidRPr="00D216CD">
        <w:rPr>
          <w:rStyle w:val="Aucun"/>
        </w:rPr>
        <w:sym w:font="Wingdings 2" w:char="F098"/>
      </w:r>
      <w:r>
        <w:t>.</w:t>
      </w:r>
    </w:p>
    <w:p w14:paraId="000D6696" w14:textId="77777777" w:rsidR="00EB120F" w:rsidRDefault="00D05F50" w:rsidP="00D05F50">
      <w:pPr>
        <w:pStyle w:val="Harmonisation-titre1"/>
      </w:pPr>
      <w:bookmarkStart w:id="116" w:name="_Toc154072910"/>
      <w:r>
        <w:t>DIRECTIVES PROPRES AUX DISTRICTS</w:t>
      </w:r>
      <w:bookmarkEnd w:id="116"/>
    </w:p>
    <w:p w14:paraId="1D253DC5" w14:textId="77777777" w:rsidR="00EB120F" w:rsidRDefault="00EB120F" w:rsidP="005977BA">
      <w:pPr>
        <w:pStyle w:val="Harmonisation-paragraphe"/>
      </w:pPr>
      <w:r>
        <w:t>Des règles particulières s’appliquent aux districts :</w:t>
      </w:r>
    </w:p>
    <w:p w14:paraId="38BF67AA" w14:textId="02F3213E" w:rsidR="00EB120F" w:rsidRDefault="0074466F" w:rsidP="000D2880">
      <w:pPr>
        <w:pStyle w:val="Harmonisation-tiret"/>
        <w:spacing w:after="200"/>
        <w:ind w:left="1281" w:hanging="357"/>
      </w:pPr>
      <w:hyperlink r:id="rId44" w:history="1">
        <w:r w:rsidR="00EB120F" w:rsidRPr="00AC3FBD">
          <w:rPr>
            <w:rStyle w:val="Lienhypertexte"/>
          </w:rPr>
          <w:t>Montréal</w:t>
        </w:r>
      </w:hyperlink>
      <w:r w:rsidR="00EB120F">
        <w:t> </w:t>
      </w:r>
    </w:p>
    <w:p w14:paraId="21F8B59C" w14:textId="6CEA24FC" w:rsidR="00EB120F" w:rsidRDefault="0074466F" w:rsidP="000D2880">
      <w:pPr>
        <w:pStyle w:val="Harmonisation-tiret"/>
        <w:spacing w:after="200"/>
        <w:ind w:left="1281" w:hanging="357"/>
      </w:pPr>
      <w:hyperlink r:id="rId45" w:history="1">
        <w:r w:rsidR="00EB120F" w:rsidRPr="00AC3FBD">
          <w:rPr>
            <w:rStyle w:val="Lienhypertexte"/>
          </w:rPr>
          <w:t>Beauharnois</w:t>
        </w:r>
      </w:hyperlink>
      <w:r w:rsidR="00EB120F">
        <w:t> </w:t>
      </w:r>
    </w:p>
    <w:p w14:paraId="5D5BD4C6" w14:textId="249ADF90" w:rsidR="00EB120F" w:rsidRDefault="0074466F" w:rsidP="000D2880">
      <w:pPr>
        <w:pStyle w:val="Harmonisation-tiret"/>
        <w:spacing w:after="200"/>
        <w:ind w:left="1281" w:hanging="357"/>
      </w:pPr>
      <w:hyperlink r:id="rId46" w:history="1">
        <w:r w:rsidR="00EB120F" w:rsidRPr="00AC3FBD">
          <w:rPr>
            <w:rStyle w:val="Lienhypertexte"/>
          </w:rPr>
          <w:t>Bedford (Cowansville)</w:t>
        </w:r>
      </w:hyperlink>
      <w:r w:rsidR="00EB120F">
        <w:t> </w:t>
      </w:r>
    </w:p>
    <w:p w14:paraId="26FE8520" w14:textId="068BDBC7" w:rsidR="00EB120F" w:rsidRDefault="0074466F" w:rsidP="000D2880">
      <w:pPr>
        <w:pStyle w:val="Harmonisation-tiret"/>
        <w:spacing w:after="200"/>
        <w:ind w:left="1281" w:hanging="357"/>
      </w:pPr>
      <w:hyperlink r:id="rId47" w:history="1">
        <w:r w:rsidR="00EB120F" w:rsidRPr="00AC3FBD">
          <w:rPr>
            <w:rStyle w:val="Lienhypertexte"/>
          </w:rPr>
          <w:t>Bedford (Granby)</w:t>
        </w:r>
      </w:hyperlink>
      <w:r w:rsidR="00EB120F">
        <w:t> </w:t>
      </w:r>
    </w:p>
    <w:p w14:paraId="0D45E443" w14:textId="68E730DF" w:rsidR="00EB120F" w:rsidRDefault="0074466F" w:rsidP="000D2880">
      <w:pPr>
        <w:pStyle w:val="Harmonisation-tiret"/>
        <w:spacing w:after="200"/>
        <w:ind w:left="1281" w:hanging="357"/>
      </w:pPr>
      <w:hyperlink r:id="rId48" w:history="1">
        <w:r w:rsidR="00EB120F" w:rsidRPr="00AC3FBD">
          <w:rPr>
            <w:rStyle w:val="Lienhypertexte"/>
          </w:rPr>
          <w:t>Drummond</w:t>
        </w:r>
      </w:hyperlink>
      <w:r w:rsidR="00EB120F">
        <w:t> </w:t>
      </w:r>
    </w:p>
    <w:p w14:paraId="4D528454" w14:textId="638AE358" w:rsidR="00EB120F" w:rsidRDefault="0074466F" w:rsidP="000D2880">
      <w:pPr>
        <w:pStyle w:val="Harmonisation-tiret"/>
        <w:spacing w:after="200"/>
        <w:ind w:left="1281" w:hanging="357"/>
      </w:pPr>
      <w:hyperlink r:id="rId49" w:history="1">
        <w:r w:rsidR="00EB120F" w:rsidRPr="00AC3FBD">
          <w:rPr>
            <w:rStyle w:val="Lienhypertexte"/>
          </w:rPr>
          <w:t>Gatineau</w:t>
        </w:r>
      </w:hyperlink>
      <w:r w:rsidR="00EB120F">
        <w:t> </w:t>
      </w:r>
    </w:p>
    <w:p w14:paraId="71AB67E0" w14:textId="3AF5BED6" w:rsidR="00EB120F" w:rsidRDefault="0074466F" w:rsidP="000D2880">
      <w:pPr>
        <w:pStyle w:val="Harmonisation-tiret"/>
        <w:spacing w:after="200"/>
        <w:ind w:left="1281" w:hanging="357"/>
      </w:pPr>
      <w:hyperlink r:id="rId50" w:history="1">
        <w:r w:rsidR="00EB120F" w:rsidRPr="00AC3FBD">
          <w:rPr>
            <w:rStyle w:val="Lienhypertexte"/>
          </w:rPr>
          <w:t>Iberville</w:t>
        </w:r>
      </w:hyperlink>
      <w:r w:rsidR="00EB120F">
        <w:t xml:space="preserve"> </w:t>
      </w:r>
    </w:p>
    <w:p w14:paraId="57BCE2A7" w14:textId="7881A08D" w:rsidR="00EB120F" w:rsidRDefault="0074466F" w:rsidP="000D2880">
      <w:pPr>
        <w:pStyle w:val="Harmonisation-tiret"/>
        <w:spacing w:after="200"/>
        <w:ind w:left="1281" w:hanging="357"/>
      </w:pPr>
      <w:hyperlink r:id="rId51" w:history="1">
        <w:r w:rsidR="00EB120F" w:rsidRPr="00AC3FBD">
          <w:rPr>
            <w:rStyle w:val="Lienhypertexte"/>
          </w:rPr>
          <w:t>Joliette</w:t>
        </w:r>
      </w:hyperlink>
      <w:r w:rsidR="00EB120F">
        <w:t> </w:t>
      </w:r>
    </w:p>
    <w:p w14:paraId="044FF843" w14:textId="5F953F44" w:rsidR="00EB120F" w:rsidRDefault="0074466F" w:rsidP="000D2880">
      <w:pPr>
        <w:pStyle w:val="Harmonisation-tiret"/>
        <w:spacing w:after="200"/>
        <w:ind w:left="1281" w:hanging="357"/>
      </w:pPr>
      <w:hyperlink r:id="rId52" w:history="1">
        <w:r w:rsidR="00EB120F" w:rsidRPr="00AC3FBD">
          <w:rPr>
            <w:rStyle w:val="Lienhypertexte"/>
          </w:rPr>
          <w:t>Labelle (Maniwaki)</w:t>
        </w:r>
      </w:hyperlink>
      <w:r w:rsidR="00EB120F">
        <w:t> </w:t>
      </w:r>
    </w:p>
    <w:p w14:paraId="0AF3E2C8" w14:textId="61C032CA" w:rsidR="00EB120F" w:rsidRDefault="0074466F" w:rsidP="000D2880">
      <w:pPr>
        <w:pStyle w:val="Harmonisation-tiret"/>
        <w:spacing w:after="200"/>
        <w:ind w:left="1281" w:hanging="357"/>
      </w:pPr>
      <w:hyperlink r:id="rId53" w:history="1">
        <w:r w:rsidR="00EB120F" w:rsidRPr="00AC3FBD">
          <w:rPr>
            <w:rStyle w:val="Lienhypertexte"/>
          </w:rPr>
          <w:t>Labelle </w:t>
        </w:r>
        <w:r w:rsidR="00D566FF" w:rsidRPr="00AC3FBD">
          <w:rPr>
            <w:rStyle w:val="Lienhypertexte"/>
          </w:rPr>
          <w:t>(</w:t>
        </w:r>
        <w:r w:rsidR="00EB120F" w:rsidRPr="00AC3FBD">
          <w:rPr>
            <w:rStyle w:val="Lienhypertexte"/>
          </w:rPr>
          <w:t>Mont-Laurier</w:t>
        </w:r>
        <w:r w:rsidR="00D566FF" w:rsidRPr="00AC3FBD">
          <w:rPr>
            <w:rStyle w:val="Lienhypertexte"/>
          </w:rPr>
          <w:t>)</w:t>
        </w:r>
      </w:hyperlink>
    </w:p>
    <w:p w14:paraId="494FCE39" w14:textId="457CBF50" w:rsidR="00EB120F" w:rsidRDefault="0074466F" w:rsidP="000D2880">
      <w:pPr>
        <w:pStyle w:val="Harmonisation-tiret"/>
        <w:spacing w:after="200"/>
        <w:ind w:left="1281" w:hanging="357"/>
      </w:pPr>
      <w:hyperlink r:id="rId54" w:history="1">
        <w:r w:rsidR="00EB120F" w:rsidRPr="00AC3FBD">
          <w:rPr>
            <w:rStyle w:val="Lienhypertexte"/>
          </w:rPr>
          <w:t>Laval</w:t>
        </w:r>
      </w:hyperlink>
    </w:p>
    <w:p w14:paraId="15A74A0F" w14:textId="20BFF96F" w:rsidR="00EB120F" w:rsidRDefault="0074466F" w:rsidP="000D2880">
      <w:pPr>
        <w:pStyle w:val="Harmonisation-tiret"/>
        <w:spacing w:after="200"/>
        <w:ind w:left="1281" w:hanging="357"/>
      </w:pPr>
      <w:hyperlink r:id="rId55" w:history="1">
        <w:r w:rsidR="00EB120F" w:rsidRPr="00AC3FBD">
          <w:rPr>
            <w:rStyle w:val="Lienhypertexte"/>
          </w:rPr>
          <w:t>Longueuil</w:t>
        </w:r>
      </w:hyperlink>
    </w:p>
    <w:p w14:paraId="4DD0E3C3" w14:textId="66C33961" w:rsidR="00EB120F" w:rsidRDefault="0074466F" w:rsidP="000D2880">
      <w:pPr>
        <w:pStyle w:val="Harmonisation-tiret"/>
        <w:spacing w:after="200"/>
        <w:ind w:left="1281" w:hanging="357"/>
      </w:pPr>
      <w:hyperlink r:id="rId56" w:history="1">
        <w:r w:rsidR="00EB120F" w:rsidRPr="00AC3FBD">
          <w:rPr>
            <w:rStyle w:val="Lienhypertexte"/>
          </w:rPr>
          <w:t>Mégantic</w:t>
        </w:r>
      </w:hyperlink>
    </w:p>
    <w:p w14:paraId="61BE8029" w14:textId="3C2AF73B" w:rsidR="00EB120F" w:rsidRDefault="0074466F" w:rsidP="000D2880">
      <w:pPr>
        <w:pStyle w:val="Harmonisation-tiret"/>
        <w:spacing w:after="200"/>
        <w:ind w:left="1281" w:hanging="357"/>
      </w:pPr>
      <w:hyperlink r:id="rId57" w:history="1">
        <w:r w:rsidR="00EB120F" w:rsidRPr="00AC3FBD">
          <w:rPr>
            <w:rStyle w:val="Lienhypertexte"/>
          </w:rPr>
          <w:t xml:space="preserve">Pontiac </w:t>
        </w:r>
        <w:r w:rsidR="00D566FF" w:rsidRPr="00AC3FBD">
          <w:rPr>
            <w:rStyle w:val="Lienhypertexte"/>
          </w:rPr>
          <w:t>(</w:t>
        </w:r>
        <w:r w:rsidR="00EB120F" w:rsidRPr="00AC3FBD">
          <w:rPr>
            <w:rStyle w:val="Lienhypertexte"/>
          </w:rPr>
          <w:t>Campbell’s Bay</w:t>
        </w:r>
        <w:r w:rsidR="00D566FF" w:rsidRPr="00AC3FBD">
          <w:rPr>
            <w:rStyle w:val="Lienhypertexte"/>
          </w:rPr>
          <w:t>)</w:t>
        </w:r>
      </w:hyperlink>
    </w:p>
    <w:p w14:paraId="64479A4E" w14:textId="0C17C574" w:rsidR="00EB120F" w:rsidRDefault="0074466F" w:rsidP="000D2880">
      <w:pPr>
        <w:pStyle w:val="Harmonisation-tiret"/>
        <w:spacing w:after="200"/>
        <w:ind w:left="1281" w:hanging="357"/>
      </w:pPr>
      <w:hyperlink r:id="rId58" w:history="1">
        <w:r w:rsidR="00EB120F" w:rsidRPr="00AC3FBD">
          <w:rPr>
            <w:rStyle w:val="Lienhypertexte"/>
          </w:rPr>
          <w:t>Richelieu</w:t>
        </w:r>
      </w:hyperlink>
    </w:p>
    <w:p w14:paraId="29F79461" w14:textId="7E716B93" w:rsidR="00EB120F" w:rsidRDefault="0074466F" w:rsidP="000D2880">
      <w:pPr>
        <w:pStyle w:val="Harmonisation-tiret"/>
        <w:spacing w:after="200"/>
        <w:ind w:left="1281" w:hanging="357"/>
      </w:pPr>
      <w:hyperlink r:id="rId59" w:history="1">
        <w:r w:rsidR="00D566FF" w:rsidRPr="00AC3FBD">
          <w:rPr>
            <w:rStyle w:val="Lienhypertexte"/>
          </w:rPr>
          <w:t>Saint-François</w:t>
        </w:r>
      </w:hyperlink>
    </w:p>
    <w:p w14:paraId="1A041240" w14:textId="0E495188" w:rsidR="00EB120F" w:rsidRDefault="0074466F" w:rsidP="000D2880">
      <w:pPr>
        <w:pStyle w:val="Harmonisation-tiret"/>
        <w:spacing w:after="200"/>
        <w:ind w:left="1281" w:hanging="357"/>
      </w:pPr>
      <w:hyperlink r:id="rId60" w:history="1">
        <w:r w:rsidR="00EB120F" w:rsidRPr="00AC3FBD">
          <w:rPr>
            <w:rStyle w:val="Lienhypertexte"/>
          </w:rPr>
          <w:t>Saint-Hyacinthe</w:t>
        </w:r>
      </w:hyperlink>
    </w:p>
    <w:p w14:paraId="293CDFE4" w14:textId="0DD62743" w:rsidR="00EB120F" w:rsidRDefault="0074466F" w:rsidP="00EB120F">
      <w:pPr>
        <w:pStyle w:val="Harmonisation-tiret"/>
      </w:pPr>
      <w:hyperlink r:id="rId61" w:history="1">
        <w:r w:rsidR="00D566FF" w:rsidRPr="00AC3FBD">
          <w:rPr>
            <w:rStyle w:val="Lienhypertexte"/>
          </w:rPr>
          <w:t>Terrebonne</w:t>
        </w:r>
      </w:hyperlink>
    </w:p>
    <w:p w14:paraId="0AAD9658" w14:textId="77777777" w:rsidR="00EB33B6" w:rsidRDefault="00EB33B6">
      <w:pPr>
        <w:rPr>
          <w:rFonts w:eastAsia="Calibri"/>
          <w:b/>
          <w:color w:val="000000"/>
          <w:u w:color="000000"/>
          <w:bdr w:val="nil"/>
          <w:lang w:eastAsia="fr-CA"/>
        </w:rPr>
      </w:pPr>
      <w:r>
        <w:br w:type="page"/>
      </w:r>
    </w:p>
    <w:p w14:paraId="4C33EF2B" w14:textId="14531E6C" w:rsidR="00EF55F5" w:rsidRDefault="008C5058" w:rsidP="00A951C0">
      <w:pPr>
        <w:pStyle w:val="Harmonisation-titre1"/>
      </w:pPr>
      <w:bookmarkStart w:id="117" w:name="_Toc154072911"/>
      <w:r>
        <w:lastRenderedPageBreak/>
        <w:t>LISTE</w:t>
      </w:r>
      <w:r w:rsidR="000D2880">
        <w:t>S</w:t>
      </w:r>
      <w:r>
        <w:t xml:space="preserve"> COMMUNE</w:t>
      </w:r>
      <w:r w:rsidR="000D2880">
        <w:t>S</w:t>
      </w:r>
      <w:r>
        <w:t xml:space="preserve"> DE JURISPRUDENCE</w:t>
      </w:r>
      <w:bookmarkEnd w:id="117"/>
    </w:p>
    <w:p w14:paraId="6D4A9FD2" w14:textId="77777777" w:rsidR="00FE1AF5" w:rsidRPr="00891D4A" w:rsidRDefault="00FE1AF5" w:rsidP="005977BA">
      <w:pPr>
        <w:pStyle w:val="Harmonisation-paragraphe"/>
      </w:pPr>
      <w:r w:rsidRPr="002F5D77">
        <w:t xml:space="preserve">La liste commune de jurisprudence </w:t>
      </w:r>
      <w:r>
        <w:t xml:space="preserve">en matières de contrôle judiciaire, commerciale (faillite, restructuration, oppression) et d’actions collectives </w:t>
      </w:r>
      <w:r w:rsidRPr="002F5D77">
        <w:t>comprend les jugements fréquemment invoqués devant la Cour supérieure dans ces matières.</w:t>
      </w:r>
    </w:p>
    <w:p w14:paraId="62E225C3" w14:textId="77777777" w:rsidR="00FE1AF5" w:rsidRPr="00891D4A" w:rsidRDefault="00FE1AF5" w:rsidP="005977BA">
      <w:pPr>
        <w:pStyle w:val="Harmonisation-paragraphe"/>
      </w:pPr>
      <w:r w:rsidRPr="002F5D77">
        <w:t xml:space="preserve">Les jugements compris dans ces listes n’ont pas à être reproduits intégralement dans le cahier des </w:t>
      </w:r>
      <w:r>
        <w:t>sources</w:t>
      </w:r>
      <w:r w:rsidRPr="002F5D77">
        <w:t xml:space="preserve"> qui doit être transmis préalablement à l’audience. Toutefois, si une partie a l’intention de citer un des jugements qui fait partie de la liste, le passage qu’elle invoque doit être inclus</w:t>
      </w:r>
      <w:r>
        <w:t xml:space="preserve"> </w:t>
      </w:r>
      <w:r w:rsidRPr="002F5D77">
        <w:t xml:space="preserve">ainsi que la page précédente et </w:t>
      </w:r>
      <w:r>
        <w:t xml:space="preserve">la </w:t>
      </w:r>
      <w:r w:rsidRPr="002F5D77">
        <w:t>suivante avec référence à la liste commune de jurisprudence et le passage cité doit être marqué.</w:t>
      </w:r>
    </w:p>
    <w:p w14:paraId="18CF8807" w14:textId="77777777" w:rsidR="00FE1AF5" w:rsidRPr="00891D4A" w:rsidRDefault="00FE1AF5" w:rsidP="005977BA">
      <w:pPr>
        <w:pStyle w:val="Harmonisation-paragraphe"/>
      </w:pPr>
      <w:r w:rsidRPr="002F5D77">
        <w:t xml:space="preserve">Pour les jugements qui ne figurent pas à la liste commune, la pratique habituelle demeure et le jugement dont on cite un passage doit être reproduit intégralement en indiquant les pages pertinentes et en marquant les passages cités, conformément à l’article 5 du </w:t>
      </w:r>
      <w:r w:rsidRPr="002F5D77">
        <w:rPr>
          <w:i/>
          <w:iCs/>
        </w:rPr>
        <w:t>Règlement de la Cour supérieure du Québec en matière civile</w:t>
      </w:r>
      <w:r w:rsidRPr="002F5D77">
        <w:t>.</w:t>
      </w:r>
    </w:p>
    <w:p w14:paraId="2A740851" w14:textId="77EC5ACB" w:rsidR="00FE1AF5" w:rsidRDefault="00FE1AF5" w:rsidP="005977BA">
      <w:pPr>
        <w:pStyle w:val="Harmonisation-paragraphe"/>
      </w:pPr>
      <w:r w:rsidRPr="002F5D77">
        <w:t>Veuillez noter que le choix des jugements apparaissant à la liste commune de jurisprudence a été établi en fonction de certains critères, dont le nombre de fois où les jugements y apparaissant ont été cités par les autres instances. Les listes communes ne constituent ni une liste exhaustive des jugements pertinents dans un domaine donné ni une opinion à cet égard.</w:t>
      </w:r>
    </w:p>
    <w:p w14:paraId="416423CB" w14:textId="4D1CF462" w:rsidR="001624B1" w:rsidRDefault="001624B1" w:rsidP="005977BA">
      <w:pPr>
        <w:pStyle w:val="paragraphenumrot"/>
        <w:keepNext/>
        <w:keepLines/>
        <w:widowControl/>
        <w:numPr>
          <w:ilvl w:val="0"/>
          <w:numId w:val="0"/>
        </w:numPr>
        <w:ind w:left="709"/>
        <w:rPr>
          <w:rFonts w:eastAsia="Arial Unicode MS"/>
          <w:b/>
          <w:bCs/>
          <w:i/>
          <w:iCs/>
          <w:sz w:val="20"/>
          <w:szCs w:val="20"/>
        </w:rPr>
      </w:pPr>
      <w:r w:rsidRPr="001624B1">
        <w:rPr>
          <w:rFonts w:eastAsia="Arial Unicode MS"/>
          <w:b/>
          <w:bCs/>
          <w:i/>
          <w:iCs/>
          <w:sz w:val="20"/>
          <w:szCs w:val="20"/>
        </w:rPr>
        <w:t>Modification : 1</w:t>
      </w:r>
      <w:r w:rsidR="005977BA" w:rsidRPr="005977BA">
        <w:rPr>
          <w:rFonts w:eastAsia="Arial Unicode MS"/>
          <w:b/>
          <w:bCs/>
          <w:i/>
          <w:iCs/>
          <w:sz w:val="20"/>
          <w:szCs w:val="20"/>
          <w:vertAlign w:val="superscript"/>
        </w:rPr>
        <w:t>er</w:t>
      </w:r>
      <w:r w:rsidR="005977BA">
        <w:rPr>
          <w:rFonts w:eastAsia="Arial Unicode MS"/>
          <w:b/>
          <w:bCs/>
          <w:i/>
          <w:iCs/>
          <w:sz w:val="20"/>
          <w:szCs w:val="20"/>
        </w:rPr>
        <w:t xml:space="preserve"> </w:t>
      </w:r>
      <w:r w:rsidRPr="001624B1">
        <w:rPr>
          <w:rFonts w:eastAsia="Arial Unicode MS"/>
          <w:b/>
          <w:bCs/>
          <w:i/>
          <w:iCs/>
          <w:sz w:val="20"/>
          <w:szCs w:val="20"/>
        </w:rPr>
        <w:t>septembre 202</w:t>
      </w:r>
      <w:r w:rsidR="00716A30">
        <w:rPr>
          <w:rFonts w:eastAsia="Arial Unicode MS"/>
          <w:b/>
          <w:bCs/>
          <w:i/>
          <w:iCs/>
          <w:sz w:val="20"/>
          <w:szCs w:val="20"/>
        </w:rPr>
        <w:t>3</w:t>
      </w:r>
      <w:r>
        <w:rPr>
          <w:rFonts w:eastAsia="Arial Unicode MS"/>
          <w:b/>
          <w:bCs/>
          <w:i/>
          <w:iCs/>
          <w:sz w:val="20"/>
          <w:szCs w:val="20"/>
        </w:rPr>
        <w:t>, ajout de 132 à 135</w:t>
      </w:r>
    </w:p>
    <w:p w14:paraId="1908CBF8" w14:textId="676C8439" w:rsidR="00F806ED" w:rsidRDefault="00F806ED" w:rsidP="00073E0A">
      <w:pPr>
        <w:pStyle w:val="Harmonisation-titre2"/>
      </w:pPr>
      <w:bookmarkStart w:id="118" w:name="_Toc154072912"/>
      <w:r>
        <w:t>En matière de contrôle judiciaire</w:t>
      </w:r>
      <w:bookmarkEnd w:id="118"/>
    </w:p>
    <w:p w14:paraId="10C983EC" w14:textId="77777777" w:rsidR="008C58BD" w:rsidRPr="008C58BD" w:rsidRDefault="008C58BD" w:rsidP="008C58BD">
      <w:pPr>
        <w:pStyle w:val="Default"/>
        <w:spacing w:after="57"/>
        <w:ind w:left="1276"/>
        <w:rPr>
          <w:b/>
          <w:bCs/>
          <w:color w:val="auto"/>
        </w:rPr>
      </w:pPr>
      <w:r w:rsidRPr="008C58BD">
        <w:rPr>
          <w:b/>
          <w:bCs/>
          <w:color w:val="212529"/>
        </w:rPr>
        <w:t>Normes de contrôle : détermination et application</w:t>
      </w:r>
    </w:p>
    <w:p w14:paraId="1DD69C26" w14:textId="5F9FEC8E" w:rsidR="008C58BD" w:rsidRPr="001631EF" w:rsidRDefault="008C58BD" w:rsidP="008C58BD">
      <w:pPr>
        <w:pStyle w:val="Default"/>
        <w:ind w:left="1276"/>
        <w:rPr>
          <w:color w:val="212529"/>
        </w:rPr>
      </w:pPr>
      <w:r w:rsidRPr="003A1BC5">
        <w:rPr>
          <w:i/>
          <w:iCs/>
          <w:color w:val="212529"/>
        </w:rPr>
        <w:t xml:space="preserve">Canada (Ministre de la Citoyenneté et de l’Immigration) </w:t>
      </w:r>
      <w:r w:rsidRPr="00073E0A">
        <w:rPr>
          <w:color w:val="212529"/>
        </w:rPr>
        <w:t>c.</w:t>
      </w:r>
      <w:r w:rsidRPr="003A1BC5">
        <w:rPr>
          <w:i/>
          <w:iCs/>
          <w:color w:val="212529"/>
        </w:rPr>
        <w:t xml:space="preserve"> Vavilov, </w:t>
      </w:r>
      <w:hyperlink r:id="rId62" w:history="1">
        <w:r w:rsidRPr="003A1BC5">
          <w:rPr>
            <w:rStyle w:val="Lienhypertexte"/>
          </w:rPr>
          <w:t>2019 CSC 65</w:t>
        </w:r>
      </w:hyperlink>
    </w:p>
    <w:p w14:paraId="101F3C4D" w14:textId="77777777" w:rsidR="008C58BD" w:rsidRDefault="008C58BD" w:rsidP="008C58BD">
      <w:pPr>
        <w:pStyle w:val="Default"/>
        <w:spacing w:after="57"/>
        <w:ind w:left="1276"/>
        <w:rPr>
          <w:i/>
          <w:iCs/>
          <w:color w:val="auto"/>
        </w:rPr>
      </w:pPr>
    </w:p>
    <w:p w14:paraId="4D31261C" w14:textId="4520A323" w:rsidR="008C58BD" w:rsidRDefault="008C58BD" w:rsidP="008C58BD">
      <w:pPr>
        <w:pStyle w:val="Default"/>
        <w:spacing w:after="57"/>
        <w:ind w:left="1276"/>
        <w:rPr>
          <w:color w:val="auto"/>
        </w:rPr>
      </w:pPr>
      <w:r w:rsidRPr="003A1BC5">
        <w:rPr>
          <w:i/>
          <w:iCs/>
          <w:color w:val="auto"/>
        </w:rPr>
        <w:t xml:space="preserve">Dunsmuir </w:t>
      </w:r>
      <w:r w:rsidRPr="00073E0A">
        <w:rPr>
          <w:color w:val="auto"/>
        </w:rPr>
        <w:t>c.</w:t>
      </w:r>
      <w:r w:rsidRPr="003A1BC5">
        <w:rPr>
          <w:i/>
          <w:iCs/>
          <w:color w:val="auto"/>
        </w:rPr>
        <w:t xml:space="preserve"> Nouveau-Brunswick, </w:t>
      </w:r>
      <w:hyperlink r:id="rId63" w:history="1">
        <w:r w:rsidRPr="003A1BC5">
          <w:rPr>
            <w:rStyle w:val="Lienhypertexte"/>
          </w:rPr>
          <w:t>2008 CSC 9</w:t>
        </w:r>
      </w:hyperlink>
    </w:p>
    <w:p w14:paraId="718FE4DF" w14:textId="77777777" w:rsidR="008C58BD" w:rsidRPr="003A1BC5" w:rsidRDefault="008C58BD" w:rsidP="008C58BD">
      <w:pPr>
        <w:pStyle w:val="Default"/>
        <w:spacing w:after="57"/>
        <w:ind w:left="1276"/>
        <w:rPr>
          <w:color w:val="auto"/>
        </w:rPr>
      </w:pPr>
    </w:p>
    <w:p w14:paraId="384C4403" w14:textId="77777777" w:rsidR="008C58BD" w:rsidRPr="008C58BD" w:rsidRDefault="008C58BD" w:rsidP="008C58BD">
      <w:pPr>
        <w:pStyle w:val="Default"/>
        <w:spacing w:after="57"/>
        <w:ind w:left="1276"/>
        <w:rPr>
          <w:b/>
          <w:bCs/>
          <w:i/>
          <w:iCs/>
          <w:color w:val="auto"/>
        </w:rPr>
      </w:pPr>
      <w:r w:rsidRPr="008C58BD">
        <w:rPr>
          <w:b/>
          <w:bCs/>
          <w:color w:val="auto"/>
        </w:rPr>
        <w:t>Équité procédurale : norme de contrôle et contenu</w:t>
      </w:r>
    </w:p>
    <w:p w14:paraId="60D9EA73" w14:textId="19590D7F" w:rsidR="008C58BD" w:rsidRPr="00982FEF" w:rsidRDefault="008C58BD" w:rsidP="008C58BD">
      <w:pPr>
        <w:pStyle w:val="Default"/>
        <w:spacing w:after="57"/>
        <w:ind w:left="1276"/>
        <w:rPr>
          <w:color w:val="auto"/>
        </w:rPr>
      </w:pPr>
      <w:r w:rsidRPr="00982FEF">
        <w:rPr>
          <w:i/>
          <w:iCs/>
          <w:color w:val="auto"/>
        </w:rPr>
        <w:t xml:space="preserve">Baker </w:t>
      </w:r>
      <w:r w:rsidRPr="00982FEF">
        <w:rPr>
          <w:color w:val="auto"/>
        </w:rPr>
        <w:t xml:space="preserve">c. </w:t>
      </w:r>
      <w:r w:rsidRPr="00982FEF">
        <w:rPr>
          <w:i/>
          <w:iCs/>
          <w:color w:val="auto"/>
        </w:rPr>
        <w:t xml:space="preserve">Canada (Ministre de la Citoyenneté et de l'Immigration), </w:t>
      </w:r>
      <w:hyperlink r:id="rId64" w:history="1">
        <w:r w:rsidRPr="00A505CD">
          <w:rPr>
            <w:rStyle w:val="Lienhypertexte"/>
          </w:rPr>
          <w:t>[1999] 2 R.C.S. 817</w:t>
        </w:r>
      </w:hyperlink>
      <w:r w:rsidRPr="00982FEF">
        <w:rPr>
          <w:color w:val="auto"/>
        </w:rPr>
        <w:t xml:space="preserve"> </w:t>
      </w:r>
    </w:p>
    <w:p w14:paraId="442E2DCC" w14:textId="77777777" w:rsidR="008C58BD" w:rsidRDefault="008C58BD" w:rsidP="008C58BD">
      <w:pPr>
        <w:pStyle w:val="Default"/>
        <w:spacing w:after="57"/>
        <w:ind w:left="1276"/>
        <w:rPr>
          <w:i/>
          <w:iCs/>
          <w:color w:val="auto"/>
        </w:rPr>
      </w:pPr>
    </w:p>
    <w:p w14:paraId="230422EF" w14:textId="075E3544" w:rsidR="008C58BD" w:rsidRPr="00982FEF" w:rsidRDefault="008C58BD" w:rsidP="008C58BD">
      <w:pPr>
        <w:pStyle w:val="Default"/>
        <w:spacing w:after="57"/>
        <w:ind w:left="1276"/>
        <w:rPr>
          <w:color w:val="212529"/>
        </w:rPr>
      </w:pPr>
      <w:r w:rsidRPr="007C10E8">
        <w:rPr>
          <w:i/>
          <w:iCs/>
          <w:color w:val="auto"/>
        </w:rPr>
        <w:t>2747-3174 Québec Inc</w:t>
      </w:r>
      <w:r w:rsidRPr="00A505CD">
        <w:rPr>
          <w:color w:val="auto"/>
        </w:rPr>
        <w:t>. c.</w:t>
      </w:r>
      <w:r w:rsidRPr="007C10E8">
        <w:rPr>
          <w:i/>
          <w:iCs/>
          <w:color w:val="auto"/>
        </w:rPr>
        <w:t xml:space="preserve"> Québec (Régie des permis d'alcool)</w:t>
      </w:r>
      <w:r w:rsidRPr="007C10E8">
        <w:rPr>
          <w:color w:val="auto"/>
        </w:rPr>
        <w:t xml:space="preserve">, </w:t>
      </w:r>
      <w:hyperlink r:id="rId65" w:history="1">
        <w:r w:rsidRPr="00A505CD">
          <w:rPr>
            <w:rStyle w:val="Lienhypertexte"/>
          </w:rPr>
          <w:t>[1996] 3 RCS 919</w:t>
        </w:r>
      </w:hyperlink>
    </w:p>
    <w:p w14:paraId="1C76456B" w14:textId="77777777" w:rsidR="008C58BD" w:rsidRPr="005977BA" w:rsidRDefault="008C58BD" w:rsidP="008C58BD">
      <w:pPr>
        <w:pStyle w:val="Default"/>
        <w:spacing w:after="57"/>
        <w:ind w:left="1276"/>
        <w:rPr>
          <w:i/>
          <w:iCs/>
          <w:color w:val="auto"/>
        </w:rPr>
      </w:pPr>
    </w:p>
    <w:p w14:paraId="70BCE68A" w14:textId="3A9FB883" w:rsidR="008C58BD" w:rsidRPr="008C58BD" w:rsidRDefault="008C58BD" w:rsidP="008C58BD">
      <w:pPr>
        <w:pStyle w:val="Default"/>
        <w:spacing w:after="57"/>
        <w:ind w:left="1276"/>
        <w:rPr>
          <w:color w:val="auto"/>
          <w:lang w:val="en-CA"/>
        </w:rPr>
      </w:pPr>
      <w:r w:rsidRPr="008C58BD">
        <w:rPr>
          <w:i/>
          <w:iCs/>
          <w:color w:val="auto"/>
          <w:lang w:val="en-CA"/>
        </w:rPr>
        <w:t>Ocean Port Hotel Ltd</w:t>
      </w:r>
      <w:r w:rsidRPr="008C58BD">
        <w:rPr>
          <w:color w:val="auto"/>
          <w:lang w:val="en-CA"/>
        </w:rPr>
        <w:t>. c.</w:t>
      </w:r>
      <w:r w:rsidRPr="008C58BD">
        <w:rPr>
          <w:i/>
          <w:iCs/>
          <w:color w:val="auto"/>
          <w:lang w:val="en-CA"/>
        </w:rPr>
        <w:t xml:space="preserve"> Colombie-Britannique (General Manager, Liquor Control and Licensing Branch)</w:t>
      </w:r>
      <w:r w:rsidRPr="008C58BD">
        <w:rPr>
          <w:color w:val="auto"/>
          <w:lang w:val="en-CA"/>
        </w:rPr>
        <w:t xml:space="preserve">, </w:t>
      </w:r>
      <w:hyperlink r:id="rId66" w:history="1">
        <w:r w:rsidRPr="008C58BD">
          <w:rPr>
            <w:rStyle w:val="Lienhypertexte"/>
            <w:lang w:val="en-CA"/>
          </w:rPr>
          <w:t>2001 CSC 52</w:t>
        </w:r>
      </w:hyperlink>
    </w:p>
    <w:p w14:paraId="19E5336C" w14:textId="77777777" w:rsidR="008C58BD" w:rsidRPr="008C58BD" w:rsidRDefault="008C58BD" w:rsidP="008C58BD">
      <w:pPr>
        <w:pStyle w:val="Default"/>
        <w:spacing w:after="57"/>
        <w:ind w:left="1276"/>
        <w:rPr>
          <w:color w:val="auto"/>
          <w:lang w:val="en-CA"/>
        </w:rPr>
      </w:pPr>
    </w:p>
    <w:p w14:paraId="08F2704F" w14:textId="77777777" w:rsidR="008C58BD" w:rsidRPr="008C58BD" w:rsidRDefault="008C58BD" w:rsidP="008C58BD">
      <w:pPr>
        <w:pStyle w:val="Default"/>
        <w:spacing w:after="57"/>
        <w:ind w:left="1276"/>
        <w:rPr>
          <w:b/>
          <w:bCs/>
          <w:color w:val="auto"/>
        </w:rPr>
      </w:pPr>
      <w:r w:rsidRPr="008C58BD">
        <w:rPr>
          <w:b/>
          <w:bCs/>
          <w:color w:val="auto"/>
        </w:rPr>
        <w:lastRenderedPageBreak/>
        <w:t>Preuve lors du contrôle judiciaire</w:t>
      </w:r>
    </w:p>
    <w:p w14:paraId="57CB3168" w14:textId="0051ECD2" w:rsidR="008C58BD" w:rsidRDefault="008C58BD" w:rsidP="008C58BD">
      <w:pPr>
        <w:pStyle w:val="Default"/>
        <w:spacing w:after="57"/>
        <w:ind w:left="1276"/>
        <w:rPr>
          <w:color w:val="auto"/>
        </w:rPr>
      </w:pPr>
      <w:r w:rsidRPr="00982FEF">
        <w:rPr>
          <w:i/>
          <w:iCs/>
          <w:color w:val="auto"/>
        </w:rPr>
        <w:t>Dupont</w:t>
      </w:r>
      <w:r w:rsidRPr="00E22BE7">
        <w:rPr>
          <w:color w:val="auto"/>
        </w:rPr>
        <w:t xml:space="preserve"> c. </w:t>
      </w:r>
      <w:r w:rsidRPr="00982FEF">
        <w:rPr>
          <w:i/>
          <w:iCs/>
          <w:color w:val="auto"/>
        </w:rPr>
        <w:t>Université du Québec à Trois-Rivières</w:t>
      </w:r>
      <w:r w:rsidRPr="003534C2">
        <w:rPr>
          <w:color w:val="auto"/>
        </w:rPr>
        <w:t xml:space="preserve">, </w:t>
      </w:r>
      <w:hyperlink r:id="rId67" w:history="1">
        <w:r w:rsidRPr="00D43F0A">
          <w:rPr>
            <w:rStyle w:val="Lienhypertexte"/>
          </w:rPr>
          <w:t>2008 QCCA 2204</w:t>
        </w:r>
      </w:hyperlink>
    </w:p>
    <w:p w14:paraId="29335127" w14:textId="77777777" w:rsidR="008C58BD" w:rsidRDefault="008C58BD" w:rsidP="008C58BD">
      <w:pPr>
        <w:pStyle w:val="Default"/>
        <w:spacing w:after="57"/>
        <w:ind w:left="1276"/>
        <w:rPr>
          <w:b/>
          <w:bCs/>
          <w:spacing w:val="-3"/>
        </w:rPr>
      </w:pPr>
    </w:p>
    <w:p w14:paraId="15C269E4" w14:textId="7284BFC0" w:rsidR="008C58BD" w:rsidRPr="008C58BD" w:rsidRDefault="008C58BD" w:rsidP="008C58BD">
      <w:pPr>
        <w:pStyle w:val="Default"/>
        <w:spacing w:after="57"/>
        <w:ind w:left="1276"/>
        <w:rPr>
          <w:b/>
          <w:bCs/>
          <w:color w:val="auto"/>
        </w:rPr>
      </w:pPr>
      <w:r w:rsidRPr="008C58BD">
        <w:rPr>
          <w:b/>
          <w:bCs/>
          <w:spacing w:val="-3"/>
        </w:rPr>
        <w:t>Délai d'exercice du pourvoi et nature discrétionnaire du contrôle judiciaire</w:t>
      </w:r>
    </w:p>
    <w:p w14:paraId="5FCEDEC1" w14:textId="589636D5" w:rsidR="008C58BD" w:rsidRDefault="008C58BD" w:rsidP="008C58BD">
      <w:pPr>
        <w:pStyle w:val="Default"/>
        <w:spacing w:after="57"/>
        <w:ind w:left="1276"/>
        <w:rPr>
          <w:color w:val="auto"/>
        </w:rPr>
      </w:pPr>
      <w:r w:rsidRPr="00982FEF">
        <w:rPr>
          <w:i/>
          <w:iCs/>
          <w:color w:val="auto"/>
        </w:rPr>
        <w:t xml:space="preserve">Immeubles Port Louis Ltée </w:t>
      </w:r>
      <w:r w:rsidRPr="00982FEF">
        <w:rPr>
          <w:color w:val="auto"/>
        </w:rPr>
        <w:t xml:space="preserve">c. </w:t>
      </w:r>
      <w:r w:rsidRPr="00982FEF">
        <w:rPr>
          <w:i/>
          <w:iCs/>
          <w:color w:val="auto"/>
        </w:rPr>
        <w:t xml:space="preserve">Lafontaine (Village), </w:t>
      </w:r>
      <w:hyperlink r:id="rId68" w:history="1">
        <w:r w:rsidRPr="00E22BE7">
          <w:rPr>
            <w:rStyle w:val="Lienhypertexte"/>
          </w:rPr>
          <w:t>[1991] 1 R.C.S. 326</w:t>
        </w:r>
      </w:hyperlink>
      <w:r w:rsidRPr="00982FEF">
        <w:rPr>
          <w:color w:val="auto"/>
        </w:rPr>
        <w:t xml:space="preserve"> </w:t>
      </w:r>
    </w:p>
    <w:p w14:paraId="63F79C1C" w14:textId="77777777" w:rsidR="008C58BD" w:rsidRDefault="008C58BD" w:rsidP="008C58BD">
      <w:pPr>
        <w:pStyle w:val="Default"/>
        <w:spacing w:after="57"/>
        <w:ind w:left="1276"/>
        <w:rPr>
          <w:color w:val="auto"/>
        </w:rPr>
      </w:pPr>
    </w:p>
    <w:p w14:paraId="1E447A44" w14:textId="5E650181" w:rsidR="008C58BD" w:rsidRDefault="008C58BD" w:rsidP="008C58BD">
      <w:pPr>
        <w:pStyle w:val="Default"/>
        <w:spacing w:after="57"/>
        <w:ind w:left="1276"/>
        <w:rPr>
          <w:color w:val="auto"/>
        </w:rPr>
      </w:pPr>
      <w:r w:rsidRPr="00902AA6">
        <w:rPr>
          <w:color w:val="auto"/>
        </w:rPr>
        <w:t xml:space="preserve">Strickland c. Canada (Procureur général), </w:t>
      </w:r>
      <w:hyperlink r:id="rId69" w:history="1">
        <w:r w:rsidRPr="00902AA6">
          <w:rPr>
            <w:rStyle w:val="Lienhypertexte"/>
          </w:rPr>
          <w:t>2015 CSC 37</w:t>
        </w:r>
      </w:hyperlink>
    </w:p>
    <w:p w14:paraId="4413489C" w14:textId="77777777" w:rsidR="008C58BD" w:rsidRDefault="008C58BD" w:rsidP="008C58BD">
      <w:pPr>
        <w:pStyle w:val="Default"/>
        <w:spacing w:after="57"/>
        <w:ind w:left="1276"/>
        <w:rPr>
          <w:color w:val="auto"/>
        </w:rPr>
      </w:pPr>
    </w:p>
    <w:p w14:paraId="2ADDB742" w14:textId="69BD0EA6" w:rsidR="008C58BD" w:rsidRPr="008C58BD" w:rsidRDefault="008C58BD" w:rsidP="008C58BD">
      <w:pPr>
        <w:pStyle w:val="Default"/>
        <w:spacing w:after="57"/>
        <w:ind w:left="1276"/>
        <w:rPr>
          <w:b/>
          <w:bCs/>
          <w:color w:val="auto"/>
        </w:rPr>
      </w:pPr>
      <w:r w:rsidRPr="008C58BD">
        <w:rPr>
          <w:b/>
          <w:bCs/>
          <w:color w:val="auto"/>
        </w:rPr>
        <w:t>Épuisement du processus administratif</w:t>
      </w:r>
    </w:p>
    <w:p w14:paraId="5FC64EA6" w14:textId="40EE4B82" w:rsidR="008C58BD" w:rsidRDefault="008C58BD" w:rsidP="00073E0A">
      <w:pPr>
        <w:pStyle w:val="Default"/>
        <w:ind w:left="1276"/>
        <w:rPr>
          <w:i/>
          <w:iCs/>
          <w:color w:val="auto"/>
        </w:rPr>
      </w:pPr>
      <w:r w:rsidRPr="00982FEF">
        <w:rPr>
          <w:i/>
          <w:iCs/>
          <w:color w:val="auto"/>
        </w:rPr>
        <w:t xml:space="preserve">Okwuobi </w:t>
      </w:r>
      <w:r w:rsidRPr="00982FEF">
        <w:rPr>
          <w:color w:val="auto"/>
        </w:rPr>
        <w:t>c</w:t>
      </w:r>
      <w:r w:rsidRPr="00982FEF">
        <w:rPr>
          <w:i/>
          <w:iCs/>
          <w:color w:val="auto"/>
        </w:rPr>
        <w:t xml:space="preserve">. Commission scolaire Lester-B.-Pearson; Casimir </w:t>
      </w:r>
      <w:r w:rsidRPr="00982FEF">
        <w:rPr>
          <w:color w:val="auto"/>
        </w:rPr>
        <w:t xml:space="preserve">c. </w:t>
      </w:r>
    </w:p>
    <w:p w14:paraId="41E5CE18" w14:textId="4BF3B728" w:rsidR="008C58BD" w:rsidRDefault="008C58BD" w:rsidP="00073E0A">
      <w:pPr>
        <w:pStyle w:val="Default"/>
        <w:ind w:left="1276"/>
        <w:rPr>
          <w:color w:val="auto"/>
        </w:rPr>
      </w:pPr>
      <w:r w:rsidRPr="00982FEF">
        <w:rPr>
          <w:i/>
          <w:iCs/>
          <w:color w:val="auto"/>
        </w:rPr>
        <w:t xml:space="preserve">Québec (Procureur général); Zorrilla </w:t>
      </w:r>
      <w:r w:rsidRPr="00982FEF">
        <w:rPr>
          <w:color w:val="auto"/>
        </w:rPr>
        <w:t xml:space="preserve">c. </w:t>
      </w:r>
      <w:r w:rsidRPr="00982FEF">
        <w:rPr>
          <w:i/>
          <w:iCs/>
          <w:color w:val="auto"/>
        </w:rPr>
        <w:t xml:space="preserve">Québec (Procureur général), </w:t>
      </w:r>
      <w:hyperlink r:id="rId70" w:history="1">
        <w:r w:rsidRPr="00541484">
          <w:rPr>
            <w:rStyle w:val="Lienhypertexte"/>
          </w:rPr>
          <w:t>2005 CSC 16</w:t>
        </w:r>
      </w:hyperlink>
      <w:r w:rsidRPr="00982FEF">
        <w:rPr>
          <w:color w:val="auto"/>
        </w:rPr>
        <w:t xml:space="preserve"> </w:t>
      </w:r>
    </w:p>
    <w:p w14:paraId="5FA6165A" w14:textId="77777777" w:rsidR="008C58BD" w:rsidRDefault="008C58BD" w:rsidP="008C58BD">
      <w:pPr>
        <w:pStyle w:val="Default"/>
        <w:spacing w:after="57"/>
        <w:ind w:left="1276"/>
        <w:rPr>
          <w:i/>
          <w:iCs/>
          <w:color w:val="auto"/>
        </w:rPr>
      </w:pPr>
    </w:p>
    <w:p w14:paraId="28204C62" w14:textId="55C41D55" w:rsidR="008C58BD" w:rsidRDefault="008C58BD" w:rsidP="008C58BD">
      <w:pPr>
        <w:pStyle w:val="Default"/>
        <w:spacing w:after="57"/>
        <w:ind w:left="1276"/>
        <w:rPr>
          <w:color w:val="auto"/>
        </w:rPr>
      </w:pPr>
      <w:r w:rsidRPr="00982FEF">
        <w:rPr>
          <w:i/>
          <w:iCs/>
          <w:color w:val="auto"/>
        </w:rPr>
        <w:t>Parry Sound (</w:t>
      </w:r>
      <w:r>
        <w:rPr>
          <w:i/>
          <w:iCs/>
          <w:color w:val="auto"/>
        </w:rPr>
        <w:t>D</w:t>
      </w:r>
      <w:r w:rsidRPr="00982FEF">
        <w:rPr>
          <w:i/>
          <w:iCs/>
          <w:color w:val="auto"/>
        </w:rPr>
        <w:t xml:space="preserve">istrict), Conseil d’administration des services sociaux </w:t>
      </w:r>
      <w:r w:rsidRPr="00982FEF">
        <w:rPr>
          <w:color w:val="auto"/>
        </w:rPr>
        <w:t xml:space="preserve">c. </w:t>
      </w:r>
      <w:r w:rsidRPr="00982FEF">
        <w:rPr>
          <w:i/>
          <w:iCs/>
          <w:color w:val="auto"/>
        </w:rPr>
        <w:t xml:space="preserve">S.E.E.F.P.O., section locale 324, </w:t>
      </w:r>
      <w:hyperlink r:id="rId71" w:history="1">
        <w:r w:rsidRPr="00541484">
          <w:rPr>
            <w:rStyle w:val="Lienhypertexte"/>
          </w:rPr>
          <w:t>2003 CSC 42</w:t>
        </w:r>
      </w:hyperlink>
    </w:p>
    <w:p w14:paraId="7A1F0106" w14:textId="77777777" w:rsidR="008C58BD" w:rsidRDefault="008C58BD" w:rsidP="008C58BD">
      <w:pPr>
        <w:pStyle w:val="Default"/>
        <w:spacing w:after="57"/>
        <w:ind w:left="1276"/>
        <w:rPr>
          <w:color w:val="auto"/>
        </w:rPr>
      </w:pPr>
    </w:p>
    <w:p w14:paraId="12773094" w14:textId="77777777" w:rsidR="008C58BD" w:rsidRPr="008C58BD" w:rsidRDefault="008C58BD" w:rsidP="008C58BD">
      <w:pPr>
        <w:pStyle w:val="Default"/>
        <w:spacing w:after="57"/>
        <w:ind w:left="1276"/>
        <w:rPr>
          <w:b/>
          <w:bCs/>
          <w:color w:val="auto"/>
        </w:rPr>
      </w:pPr>
      <w:r w:rsidRPr="008C58BD">
        <w:rPr>
          <w:b/>
          <w:bCs/>
          <w:color w:val="auto"/>
        </w:rPr>
        <w:t>Contrôle judiciaire d’une décision interlocutoire</w:t>
      </w:r>
    </w:p>
    <w:p w14:paraId="018F58BD" w14:textId="01B457AF" w:rsidR="008C58BD" w:rsidRPr="00CA6001" w:rsidRDefault="008C58BD" w:rsidP="008C58BD">
      <w:pPr>
        <w:pStyle w:val="Default"/>
        <w:spacing w:after="57"/>
        <w:ind w:left="1276"/>
        <w:rPr>
          <w:color w:val="auto"/>
        </w:rPr>
      </w:pPr>
      <w:r w:rsidRPr="00523A44">
        <w:rPr>
          <w:i/>
          <w:iCs/>
          <w:color w:val="auto"/>
        </w:rPr>
        <w:t>Cégep de Valleyfield</w:t>
      </w:r>
      <w:r w:rsidRPr="00523A44">
        <w:rPr>
          <w:color w:val="auto"/>
        </w:rPr>
        <w:t xml:space="preserve"> c. </w:t>
      </w:r>
      <w:r w:rsidRPr="00523A44">
        <w:rPr>
          <w:i/>
          <w:iCs/>
          <w:color w:val="auto"/>
        </w:rPr>
        <w:t>Gauthier-Cashman</w:t>
      </w:r>
      <w:r w:rsidRPr="00523A44">
        <w:rPr>
          <w:color w:val="auto"/>
        </w:rPr>
        <w:t xml:space="preserve">, </w:t>
      </w:r>
      <w:bookmarkStart w:id="119" w:name="_Hlk129096158"/>
      <w:r w:rsidRPr="00523A44">
        <w:rPr>
          <w:color w:val="auto"/>
        </w:rPr>
        <w:fldChar w:fldCharType="begin"/>
      </w:r>
      <w:r w:rsidRPr="00523A44">
        <w:rPr>
          <w:color w:val="auto"/>
        </w:rPr>
        <w:instrText xml:space="preserve"> HYPERLINK "https://canlii.ca/t/gnzv8" </w:instrText>
      </w:r>
      <w:r w:rsidRPr="00523A44">
        <w:rPr>
          <w:color w:val="auto"/>
        </w:rPr>
        <w:fldChar w:fldCharType="separate"/>
      </w:r>
      <w:r w:rsidRPr="00523A44">
        <w:rPr>
          <w:rStyle w:val="Lienhypertexte"/>
        </w:rPr>
        <w:t>[1984] C.A. 633</w:t>
      </w:r>
      <w:bookmarkEnd w:id="119"/>
      <w:r w:rsidRPr="00523A44">
        <w:rPr>
          <w:color w:val="auto"/>
        </w:rPr>
        <w:fldChar w:fldCharType="end"/>
      </w:r>
    </w:p>
    <w:p w14:paraId="734BFC43" w14:textId="77777777" w:rsidR="008C58BD" w:rsidRPr="00D43F0A" w:rsidRDefault="008C58BD" w:rsidP="008C58BD">
      <w:pPr>
        <w:pStyle w:val="Default"/>
        <w:spacing w:after="57"/>
        <w:ind w:left="1276"/>
        <w:rPr>
          <w:color w:val="auto"/>
        </w:rPr>
      </w:pPr>
    </w:p>
    <w:p w14:paraId="4519799F" w14:textId="77777777" w:rsidR="008C58BD" w:rsidRPr="008C58BD" w:rsidRDefault="008C58BD" w:rsidP="008C58BD">
      <w:pPr>
        <w:pStyle w:val="Default"/>
        <w:spacing w:after="57"/>
        <w:ind w:left="1276"/>
        <w:rPr>
          <w:b/>
          <w:bCs/>
          <w:color w:val="auto"/>
        </w:rPr>
      </w:pPr>
      <w:r w:rsidRPr="008C58BD">
        <w:rPr>
          <w:b/>
          <w:bCs/>
          <w:color w:val="auto"/>
        </w:rPr>
        <w:t>Sursis d’une décision administrative</w:t>
      </w:r>
    </w:p>
    <w:p w14:paraId="7D5BA1B3" w14:textId="259870DA" w:rsidR="008C58BD" w:rsidRPr="00982FEF" w:rsidRDefault="008C58BD" w:rsidP="008C58BD">
      <w:pPr>
        <w:pStyle w:val="Default"/>
        <w:ind w:left="1276"/>
        <w:rPr>
          <w:color w:val="auto"/>
        </w:rPr>
      </w:pPr>
      <w:r w:rsidRPr="00982FEF">
        <w:rPr>
          <w:i/>
          <w:iCs/>
          <w:color w:val="auto"/>
        </w:rPr>
        <w:t xml:space="preserve">RJR -- Macdonald Inc. </w:t>
      </w:r>
      <w:r w:rsidRPr="00982FEF">
        <w:rPr>
          <w:color w:val="auto"/>
        </w:rPr>
        <w:t xml:space="preserve">c. </w:t>
      </w:r>
      <w:r w:rsidRPr="00982FEF">
        <w:rPr>
          <w:i/>
          <w:iCs/>
          <w:color w:val="auto"/>
        </w:rPr>
        <w:t xml:space="preserve">Canada (Procureur général), </w:t>
      </w:r>
      <w:hyperlink r:id="rId72" w:history="1">
        <w:r w:rsidRPr="00541484">
          <w:rPr>
            <w:rStyle w:val="Lienhypertexte"/>
          </w:rPr>
          <w:t>[1994] 1 R.C.S. 311</w:t>
        </w:r>
      </w:hyperlink>
    </w:p>
    <w:p w14:paraId="3CB8CA57" w14:textId="77777777" w:rsidR="008C58BD" w:rsidRDefault="008C58BD" w:rsidP="008C58BD">
      <w:pPr>
        <w:pStyle w:val="Default"/>
        <w:spacing w:after="57"/>
        <w:ind w:left="1276"/>
        <w:rPr>
          <w:i/>
          <w:iCs/>
          <w:color w:val="auto"/>
        </w:rPr>
      </w:pPr>
    </w:p>
    <w:p w14:paraId="3F57412B" w14:textId="5A063F57" w:rsidR="008C58BD" w:rsidRPr="00982FEF" w:rsidRDefault="008C58BD" w:rsidP="008C58BD">
      <w:pPr>
        <w:pStyle w:val="Default"/>
        <w:spacing w:after="57"/>
        <w:ind w:left="1276"/>
        <w:rPr>
          <w:color w:val="auto"/>
        </w:rPr>
      </w:pPr>
      <w:r w:rsidRPr="00982FEF">
        <w:rPr>
          <w:i/>
          <w:iCs/>
          <w:color w:val="auto"/>
        </w:rPr>
        <w:t xml:space="preserve">Manitoba (P.G.) </w:t>
      </w:r>
      <w:r w:rsidRPr="00982FEF">
        <w:rPr>
          <w:color w:val="auto"/>
        </w:rPr>
        <w:t xml:space="preserve">c. </w:t>
      </w:r>
      <w:r w:rsidRPr="00982FEF">
        <w:rPr>
          <w:i/>
          <w:iCs/>
          <w:color w:val="auto"/>
        </w:rPr>
        <w:t>Metropolitan Stores Ltd.,</w:t>
      </w:r>
      <w:hyperlink r:id="rId73" w:history="1">
        <w:r w:rsidRPr="00521203">
          <w:rPr>
            <w:rStyle w:val="Lienhypertexte"/>
          </w:rPr>
          <w:t>[1987] 1 R.C.S. 110</w:t>
        </w:r>
      </w:hyperlink>
      <w:r w:rsidRPr="00982FEF">
        <w:rPr>
          <w:color w:val="auto"/>
        </w:rPr>
        <w:t xml:space="preserve"> </w:t>
      </w:r>
    </w:p>
    <w:p w14:paraId="116BF341" w14:textId="77777777" w:rsidR="008C58BD" w:rsidRDefault="008C58BD" w:rsidP="008C58BD">
      <w:pPr>
        <w:pStyle w:val="Default"/>
        <w:spacing w:after="57"/>
        <w:ind w:left="1276"/>
        <w:rPr>
          <w:b/>
          <w:bCs/>
          <w:color w:val="auto"/>
        </w:rPr>
      </w:pPr>
    </w:p>
    <w:p w14:paraId="1CC608B3" w14:textId="14E7F7B5" w:rsidR="008C58BD" w:rsidRPr="008C58BD" w:rsidRDefault="008C58BD" w:rsidP="008C58BD">
      <w:pPr>
        <w:pStyle w:val="Default"/>
        <w:spacing w:after="57"/>
        <w:ind w:left="1276"/>
        <w:rPr>
          <w:b/>
          <w:bCs/>
          <w:color w:val="auto"/>
        </w:rPr>
      </w:pPr>
      <w:r w:rsidRPr="008C58BD">
        <w:rPr>
          <w:b/>
          <w:bCs/>
          <w:color w:val="auto"/>
        </w:rPr>
        <w:t>Autorité de la chose jugée</w:t>
      </w:r>
    </w:p>
    <w:p w14:paraId="73D2BFC6" w14:textId="2216A8D5" w:rsidR="008C58BD" w:rsidRDefault="008C58BD" w:rsidP="008C58BD">
      <w:pPr>
        <w:pStyle w:val="Default"/>
        <w:spacing w:after="57"/>
        <w:ind w:left="1276"/>
        <w:rPr>
          <w:color w:val="auto"/>
          <w:lang w:val="en-CA"/>
        </w:rPr>
      </w:pPr>
      <w:r w:rsidRPr="008C58BD">
        <w:rPr>
          <w:i/>
          <w:iCs/>
          <w:color w:val="auto"/>
          <w:lang w:val="en-CA"/>
        </w:rPr>
        <w:t xml:space="preserve">Roberge </w:t>
      </w:r>
      <w:r w:rsidRPr="008C58BD">
        <w:rPr>
          <w:color w:val="auto"/>
          <w:lang w:val="en-CA"/>
        </w:rPr>
        <w:t xml:space="preserve">c. </w:t>
      </w:r>
      <w:r w:rsidRPr="008C58BD">
        <w:rPr>
          <w:i/>
          <w:iCs/>
          <w:color w:val="auto"/>
          <w:lang w:val="en-CA"/>
        </w:rPr>
        <w:t xml:space="preserve">Bolduc, </w:t>
      </w:r>
      <w:hyperlink r:id="rId74" w:history="1">
        <w:r w:rsidRPr="008C58BD">
          <w:rPr>
            <w:rStyle w:val="Lienhypertexte"/>
            <w:lang w:val="en-CA"/>
          </w:rPr>
          <w:t>[1991] 1 R.C.S. 374</w:t>
        </w:r>
      </w:hyperlink>
      <w:r w:rsidRPr="008C58BD">
        <w:rPr>
          <w:color w:val="auto"/>
          <w:lang w:val="en-CA"/>
        </w:rPr>
        <w:t xml:space="preserve"> </w:t>
      </w:r>
    </w:p>
    <w:p w14:paraId="5A57B132" w14:textId="77777777" w:rsidR="008C58BD" w:rsidRPr="008C58BD" w:rsidRDefault="008C58BD" w:rsidP="008C58BD">
      <w:pPr>
        <w:pStyle w:val="Default"/>
        <w:spacing w:after="57"/>
        <w:ind w:left="1276"/>
        <w:rPr>
          <w:color w:val="auto"/>
          <w:lang w:val="en-CA"/>
        </w:rPr>
      </w:pPr>
    </w:p>
    <w:p w14:paraId="7714132D" w14:textId="77777777" w:rsidR="008C58BD" w:rsidRDefault="008C58BD" w:rsidP="008C58BD">
      <w:pPr>
        <w:pStyle w:val="Default"/>
        <w:spacing w:after="57"/>
        <w:ind w:left="1276"/>
        <w:rPr>
          <w:i/>
          <w:iCs/>
          <w:color w:val="auto"/>
        </w:rPr>
      </w:pPr>
      <w:r w:rsidRPr="003A1BC5">
        <w:rPr>
          <w:i/>
          <w:iCs/>
          <w:color w:val="auto"/>
        </w:rPr>
        <w:t xml:space="preserve">Rocois Construction Inc. </w:t>
      </w:r>
      <w:r w:rsidRPr="00073E0A">
        <w:rPr>
          <w:color w:val="auto"/>
        </w:rPr>
        <w:t>c.</w:t>
      </w:r>
      <w:r w:rsidRPr="003A1BC5">
        <w:rPr>
          <w:i/>
          <w:iCs/>
          <w:color w:val="auto"/>
        </w:rPr>
        <w:t xml:space="preserve"> Québec Ready Mix Inc.,</w:t>
      </w:r>
      <w:r>
        <w:rPr>
          <w:i/>
          <w:iCs/>
          <w:color w:val="auto"/>
        </w:rPr>
        <w:t xml:space="preserve"> </w:t>
      </w:r>
      <w:hyperlink r:id="rId75" w:history="1">
        <w:r w:rsidRPr="003A1BC5">
          <w:rPr>
            <w:rStyle w:val="Lienhypertexte"/>
          </w:rPr>
          <w:t>[1990] 2 RCS 440</w:t>
        </w:r>
      </w:hyperlink>
    </w:p>
    <w:p w14:paraId="1AF1EEF5" w14:textId="77777777" w:rsidR="008C58BD" w:rsidRDefault="008C58BD" w:rsidP="008C58BD">
      <w:pPr>
        <w:pStyle w:val="Default"/>
        <w:spacing w:after="57"/>
        <w:ind w:left="1276"/>
        <w:rPr>
          <w:i/>
          <w:iCs/>
          <w:color w:val="auto"/>
        </w:rPr>
      </w:pPr>
    </w:p>
    <w:p w14:paraId="5830961D" w14:textId="7448765E" w:rsidR="008C58BD" w:rsidRPr="00902AA6" w:rsidRDefault="008C58BD" w:rsidP="008C58BD">
      <w:pPr>
        <w:pStyle w:val="Default"/>
        <w:spacing w:after="57"/>
        <w:ind w:left="1276"/>
        <w:rPr>
          <w:color w:val="auto"/>
        </w:rPr>
      </w:pPr>
      <w:r w:rsidRPr="00902AA6">
        <w:rPr>
          <w:i/>
          <w:iCs/>
          <w:color w:val="auto"/>
        </w:rPr>
        <w:t xml:space="preserve">Nasifoglu </w:t>
      </w:r>
      <w:r w:rsidRPr="00902AA6">
        <w:rPr>
          <w:color w:val="auto"/>
        </w:rPr>
        <w:t>c.</w:t>
      </w:r>
      <w:r w:rsidRPr="00902AA6">
        <w:rPr>
          <w:i/>
          <w:iCs/>
          <w:color w:val="auto"/>
        </w:rPr>
        <w:t xml:space="preserve"> Complexe St-Ambroise inc</w:t>
      </w:r>
      <w:r w:rsidRPr="00902AA6">
        <w:rPr>
          <w:color w:val="auto"/>
        </w:rPr>
        <w:t xml:space="preserve">., </w:t>
      </w:r>
      <w:hyperlink r:id="rId76" w:history="1">
        <w:r w:rsidRPr="00902AA6">
          <w:rPr>
            <w:rStyle w:val="Lienhypertexte"/>
          </w:rPr>
          <w:t>2005 QCCA 559</w:t>
        </w:r>
      </w:hyperlink>
    </w:p>
    <w:p w14:paraId="1994F830" w14:textId="7B491820" w:rsidR="00EB33B6" w:rsidRDefault="00EB33B6" w:rsidP="00EF55F5">
      <w:pPr>
        <w:pStyle w:val="Harmonisation-tiret"/>
        <w:numPr>
          <w:ilvl w:val="0"/>
          <w:numId w:val="0"/>
        </w:numPr>
        <w:ind w:left="1287"/>
      </w:pPr>
    </w:p>
    <w:p w14:paraId="59853D5A" w14:textId="209E5FBB" w:rsidR="000D2880" w:rsidRDefault="006229F3" w:rsidP="00073E0A">
      <w:pPr>
        <w:pStyle w:val="Harmonisation-titre2"/>
      </w:pPr>
      <w:bookmarkStart w:id="120" w:name="_Toc154072913"/>
      <w:r>
        <w:lastRenderedPageBreak/>
        <w:t>E</w:t>
      </w:r>
      <w:r w:rsidR="000D2880">
        <w:t>n matière commerciale</w:t>
      </w:r>
      <w:r w:rsidR="00BC37EC">
        <w:t xml:space="preserve">, </w:t>
      </w:r>
      <w:r w:rsidR="000D2880">
        <w:t>faillite et de restructuration</w:t>
      </w:r>
      <w:bookmarkEnd w:id="120"/>
    </w:p>
    <w:p w14:paraId="7C3F88DF" w14:textId="2C72C188" w:rsidR="00BC37EC" w:rsidRPr="00BC37EC" w:rsidRDefault="00BC37EC" w:rsidP="005977BA">
      <w:pPr>
        <w:pStyle w:val="Harmonisation-tiret"/>
        <w:keepNext/>
        <w:keepLines/>
        <w:numPr>
          <w:ilvl w:val="0"/>
          <w:numId w:val="0"/>
        </w:numPr>
        <w:ind w:left="505" w:firstLine="708"/>
        <w:rPr>
          <w:lang w:val="fr-FR"/>
        </w:rPr>
      </w:pPr>
      <w:r w:rsidRPr="00BC37EC">
        <w:rPr>
          <w:lang w:val="fr-FR"/>
        </w:rPr>
        <w:t>(Présentées en ordre chronologique)</w:t>
      </w:r>
    </w:p>
    <w:p w14:paraId="7C806233" w14:textId="77777777" w:rsidR="00BC37EC" w:rsidRPr="00BC37EC" w:rsidRDefault="00BC37EC" w:rsidP="005977BA">
      <w:pPr>
        <w:pStyle w:val="Harmonisation-tiret"/>
        <w:keepNext/>
        <w:keepLines/>
        <w:numPr>
          <w:ilvl w:val="0"/>
          <w:numId w:val="0"/>
        </w:numPr>
        <w:ind w:left="1213"/>
        <w:rPr>
          <w:iCs/>
          <w:lang w:val="fr-FR"/>
        </w:rPr>
      </w:pPr>
      <w:r w:rsidRPr="00BC37EC">
        <w:rPr>
          <w:i/>
          <w:lang w:val="fr-FR"/>
        </w:rPr>
        <w:t xml:space="preserve">Husky Oil Operations ltd. </w:t>
      </w:r>
      <w:r w:rsidRPr="00BC37EC">
        <w:rPr>
          <w:iCs/>
          <w:lang w:val="fr-FR"/>
        </w:rPr>
        <w:t>c.</w:t>
      </w:r>
      <w:r w:rsidRPr="00BC37EC">
        <w:rPr>
          <w:i/>
          <w:lang w:val="fr-FR"/>
        </w:rPr>
        <w:t xml:space="preserve"> Ministre du Revenu national, </w:t>
      </w:r>
      <w:hyperlink r:id="rId77" w:history="1">
        <w:r w:rsidRPr="00BC37EC">
          <w:rPr>
            <w:rStyle w:val="Lienhypertexte"/>
            <w:iCs/>
            <w:lang w:val="fr-FR"/>
          </w:rPr>
          <w:t>[1995] 3 R.C.S. 453</w:t>
        </w:r>
      </w:hyperlink>
    </w:p>
    <w:p w14:paraId="64442840" w14:textId="10D38921" w:rsidR="00BC37EC" w:rsidRPr="00BC37EC" w:rsidRDefault="00BC37EC" w:rsidP="008C58BD">
      <w:pPr>
        <w:pStyle w:val="Harmonisation-tiret"/>
        <w:numPr>
          <w:ilvl w:val="0"/>
          <w:numId w:val="0"/>
        </w:numPr>
        <w:ind w:left="1213"/>
        <w:rPr>
          <w:iCs/>
          <w:lang w:val="fr-FR"/>
        </w:rPr>
      </w:pPr>
      <w:r w:rsidRPr="00BC37EC">
        <w:rPr>
          <w:i/>
          <w:lang w:val="fr-FR"/>
        </w:rPr>
        <w:t>Restaurant Ocean Drive inc.</w:t>
      </w:r>
      <w:r w:rsidRPr="00BC37EC">
        <w:rPr>
          <w:iCs/>
          <w:lang w:val="fr-FR"/>
        </w:rPr>
        <w:t xml:space="preserve"> c. </w:t>
      </w:r>
      <w:r w:rsidRPr="00BC37EC">
        <w:rPr>
          <w:i/>
          <w:lang w:val="fr-FR"/>
        </w:rPr>
        <w:t>Sam Levy &amp; associ</w:t>
      </w:r>
      <w:r w:rsidRPr="00BC37EC">
        <w:rPr>
          <w:lang w:val="fr-FR"/>
        </w:rPr>
        <w:t>é</w:t>
      </w:r>
      <w:r w:rsidRPr="00BC37EC">
        <w:rPr>
          <w:i/>
          <w:lang w:val="fr-FR"/>
        </w:rPr>
        <w:t>s inc.,</w:t>
      </w:r>
      <w:r w:rsidRPr="00BC37EC">
        <w:rPr>
          <w:iCs/>
          <w:lang w:val="fr-FR"/>
        </w:rPr>
        <w:t xml:space="preserve"> </w:t>
      </w:r>
      <w:hyperlink r:id="rId78" w:history="1">
        <w:r w:rsidRPr="00BC37EC">
          <w:rPr>
            <w:rStyle w:val="Lienhypertexte"/>
            <w:iCs/>
            <w:lang w:val="fr-FR"/>
          </w:rPr>
          <w:t>[1998] R.J.Q. 30</w:t>
        </w:r>
      </w:hyperlink>
      <w:r w:rsidRPr="00BC37EC">
        <w:rPr>
          <w:iCs/>
          <w:lang w:val="fr-FR"/>
        </w:rPr>
        <w:t xml:space="preserve"> (C</w:t>
      </w:r>
      <w:r w:rsidR="00134EC0">
        <w:rPr>
          <w:iCs/>
          <w:lang w:val="fr-FR"/>
        </w:rPr>
        <w:t>.</w:t>
      </w:r>
      <w:r w:rsidRPr="00BC37EC">
        <w:rPr>
          <w:iCs/>
          <w:lang w:val="fr-FR"/>
        </w:rPr>
        <w:t>A</w:t>
      </w:r>
      <w:r w:rsidR="00134EC0">
        <w:rPr>
          <w:iCs/>
          <w:lang w:val="fr-FR"/>
        </w:rPr>
        <w:t>.</w:t>
      </w:r>
      <w:r w:rsidRPr="00BC37EC">
        <w:rPr>
          <w:iCs/>
          <w:lang w:val="fr-FR"/>
        </w:rPr>
        <w:t>)</w:t>
      </w:r>
    </w:p>
    <w:p w14:paraId="25C9047B" w14:textId="1E4074BB" w:rsidR="00BC37EC" w:rsidRPr="00BC37EC" w:rsidRDefault="00BC37EC" w:rsidP="008C58BD">
      <w:pPr>
        <w:pStyle w:val="Harmonisation-tiret"/>
        <w:numPr>
          <w:ilvl w:val="0"/>
          <w:numId w:val="0"/>
        </w:numPr>
        <w:ind w:left="1213"/>
        <w:rPr>
          <w:iCs/>
          <w:lang w:val="fr-FR"/>
        </w:rPr>
      </w:pPr>
      <w:r w:rsidRPr="00BC37EC">
        <w:rPr>
          <w:i/>
          <w:lang w:val="fr-FR"/>
        </w:rPr>
        <w:t>Bouchard</w:t>
      </w:r>
      <w:r w:rsidRPr="00BC37EC">
        <w:rPr>
          <w:iCs/>
          <w:lang w:val="fr-FR"/>
        </w:rPr>
        <w:t xml:space="preserve"> c. </w:t>
      </w:r>
      <w:r w:rsidRPr="00BC37EC">
        <w:rPr>
          <w:i/>
          <w:lang w:val="fr-FR"/>
        </w:rPr>
        <w:t>Wilfrid No</w:t>
      </w:r>
      <w:r w:rsidRPr="00BC37EC">
        <w:rPr>
          <w:lang w:val="fr-FR"/>
        </w:rPr>
        <w:t>ë</w:t>
      </w:r>
      <w:r w:rsidRPr="00BC37EC">
        <w:rPr>
          <w:i/>
          <w:lang w:val="fr-FR"/>
        </w:rPr>
        <w:t>l &amp; Fils lt</w:t>
      </w:r>
      <w:r w:rsidRPr="00BC37EC">
        <w:rPr>
          <w:lang w:val="fr-FR"/>
        </w:rPr>
        <w:t>é</w:t>
      </w:r>
      <w:r w:rsidRPr="00BC37EC">
        <w:rPr>
          <w:i/>
          <w:lang w:val="fr-FR"/>
        </w:rPr>
        <w:t>e</w:t>
      </w:r>
      <w:r w:rsidRPr="00BC37EC">
        <w:rPr>
          <w:iCs/>
          <w:lang w:val="fr-FR"/>
        </w:rPr>
        <w:t xml:space="preserve">, </w:t>
      </w:r>
      <w:hyperlink r:id="rId79" w:history="1">
        <w:r w:rsidRPr="00BC37EC">
          <w:rPr>
            <w:rStyle w:val="Lienhypertexte"/>
            <w:iCs/>
            <w:lang w:val="fr-FR"/>
          </w:rPr>
          <w:t>J.E. 2000-477</w:t>
        </w:r>
      </w:hyperlink>
      <w:r w:rsidRPr="00BC37EC">
        <w:rPr>
          <w:iCs/>
          <w:lang w:val="fr-FR"/>
        </w:rPr>
        <w:t xml:space="preserve"> (C</w:t>
      </w:r>
      <w:r w:rsidR="00134EC0">
        <w:rPr>
          <w:iCs/>
          <w:lang w:val="fr-FR"/>
        </w:rPr>
        <w:t>.</w:t>
      </w:r>
      <w:r w:rsidRPr="00BC37EC">
        <w:rPr>
          <w:iCs/>
          <w:lang w:val="fr-FR"/>
        </w:rPr>
        <w:t>A</w:t>
      </w:r>
      <w:r w:rsidR="00134EC0">
        <w:rPr>
          <w:iCs/>
          <w:lang w:val="fr-FR"/>
        </w:rPr>
        <w:t>.</w:t>
      </w:r>
      <w:r w:rsidRPr="00BC37EC">
        <w:rPr>
          <w:iCs/>
          <w:lang w:val="fr-FR"/>
        </w:rPr>
        <w:t>)</w:t>
      </w:r>
    </w:p>
    <w:p w14:paraId="2BBDA55F" w14:textId="77777777" w:rsidR="00BC37EC" w:rsidRPr="00BC37EC" w:rsidRDefault="00BC37EC" w:rsidP="008C58BD">
      <w:pPr>
        <w:pStyle w:val="Harmonisation-tiret"/>
        <w:numPr>
          <w:ilvl w:val="0"/>
          <w:numId w:val="0"/>
        </w:numPr>
        <w:ind w:left="1213"/>
        <w:rPr>
          <w:iCs/>
          <w:lang w:val="fr-FR"/>
        </w:rPr>
      </w:pPr>
      <w:r w:rsidRPr="00BC37EC">
        <w:rPr>
          <w:i/>
          <w:iCs/>
          <w:lang w:val="fr-FR"/>
        </w:rPr>
        <w:t>First Vancouver Finance</w:t>
      </w:r>
      <w:r w:rsidRPr="00BC37EC">
        <w:rPr>
          <w:lang w:val="fr-FR"/>
        </w:rPr>
        <w:t xml:space="preserve"> c. </w:t>
      </w:r>
      <w:r w:rsidRPr="00BC37EC">
        <w:rPr>
          <w:i/>
          <w:iCs/>
          <w:lang w:val="fr-FR"/>
        </w:rPr>
        <w:t>M.R.N.</w:t>
      </w:r>
      <w:r w:rsidRPr="00BC37EC">
        <w:rPr>
          <w:lang w:val="fr-FR"/>
        </w:rPr>
        <w:t xml:space="preserve">, </w:t>
      </w:r>
      <w:hyperlink r:id="rId80" w:history="1">
        <w:r w:rsidRPr="00BC37EC">
          <w:rPr>
            <w:rStyle w:val="Lienhypertexte"/>
            <w:lang w:val="fr-FR"/>
          </w:rPr>
          <w:t>2002 CSC 49</w:t>
        </w:r>
      </w:hyperlink>
      <w:r w:rsidRPr="00BC37EC">
        <w:rPr>
          <w:lang w:val="fr-FR"/>
        </w:rPr>
        <w:t xml:space="preserve"> </w:t>
      </w:r>
    </w:p>
    <w:p w14:paraId="257DFA51" w14:textId="29CAF730" w:rsidR="00BC37EC" w:rsidRPr="00BC37EC" w:rsidRDefault="00BC37EC" w:rsidP="008C58BD">
      <w:pPr>
        <w:pStyle w:val="Harmonisation-tiret"/>
        <w:numPr>
          <w:ilvl w:val="0"/>
          <w:numId w:val="0"/>
        </w:numPr>
        <w:ind w:left="1213"/>
        <w:rPr>
          <w:iCs/>
          <w:lang w:val="fr-FR"/>
        </w:rPr>
      </w:pPr>
      <w:r w:rsidRPr="00BC37EC">
        <w:rPr>
          <w:i/>
          <w:iCs/>
          <w:noProof/>
          <w:lang w:val="fr-FR"/>
        </w:rPr>
        <mc:AlternateContent>
          <mc:Choice Requires="wps">
            <w:drawing>
              <wp:anchor distT="0" distB="0" distL="114300" distR="114300" simplePos="0" relativeHeight="251660288" behindDoc="1" locked="0" layoutInCell="1" allowOverlap="1" wp14:anchorId="23CAEFEE" wp14:editId="411C6601">
                <wp:simplePos x="0" y="0"/>
                <wp:positionH relativeFrom="page">
                  <wp:posOffset>5952490</wp:posOffset>
                </wp:positionH>
                <wp:positionV relativeFrom="paragraph">
                  <wp:posOffset>229870</wp:posOffset>
                </wp:positionV>
                <wp:extent cx="39370" cy="10795"/>
                <wp:effectExtent l="0" t="0" r="0" b="31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94743" id="Rectangle 16" o:spid="_x0000_s1026" style="position:absolute;margin-left:468.7pt;margin-top:18.1pt;width:3.1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" fillcolor="blue" stroked="f">
                <w10:wrap anchorx="page"/>
              </v:rect>
            </w:pict>
          </mc:Fallback>
        </mc:AlternateContent>
      </w:r>
      <w:r w:rsidRPr="00BC37EC">
        <w:rPr>
          <w:i/>
          <w:iCs/>
          <w:lang w:val="fr-FR"/>
        </w:rPr>
        <w:t>9076-3335 Québec inc (Syndic de),</w:t>
      </w:r>
      <w:r w:rsidRPr="00BC37EC">
        <w:rPr>
          <w:lang w:val="fr-FR"/>
        </w:rPr>
        <w:t xml:space="preserve"> </w:t>
      </w:r>
      <w:hyperlink r:id="rId81" w:history="1">
        <w:r w:rsidRPr="00BC37EC">
          <w:rPr>
            <w:rStyle w:val="Lienhypertexte"/>
            <w:lang w:val="fr-FR"/>
          </w:rPr>
          <w:t>[2003] R.J.Q. 2101</w:t>
        </w:r>
      </w:hyperlink>
      <w:r w:rsidRPr="00BC37EC">
        <w:rPr>
          <w:lang w:val="fr-FR"/>
        </w:rPr>
        <w:t xml:space="preserve"> (C</w:t>
      </w:r>
      <w:r w:rsidR="00134EC0">
        <w:rPr>
          <w:lang w:val="fr-FR"/>
        </w:rPr>
        <w:t>.</w:t>
      </w:r>
      <w:r w:rsidRPr="00BC37EC">
        <w:rPr>
          <w:lang w:val="fr-FR"/>
        </w:rPr>
        <w:t>A</w:t>
      </w:r>
      <w:r w:rsidR="00134EC0">
        <w:rPr>
          <w:lang w:val="fr-FR"/>
        </w:rPr>
        <w:t>.</w:t>
      </w:r>
      <w:r w:rsidRPr="00BC37EC">
        <w:rPr>
          <w:lang w:val="fr-FR"/>
        </w:rPr>
        <w:t>)</w:t>
      </w:r>
    </w:p>
    <w:p w14:paraId="6CF8AFDE" w14:textId="6A79AA53" w:rsidR="00BC37EC" w:rsidRPr="00BC37EC" w:rsidRDefault="00BC37EC" w:rsidP="008C58BD">
      <w:pPr>
        <w:pStyle w:val="Harmonisation-tiret"/>
        <w:numPr>
          <w:ilvl w:val="0"/>
          <w:numId w:val="0"/>
        </w:numPr>
        <w:ind w:left="1213"/>
        <w:rPr>
          <w:iCs/>
          <w:lang w:val="fr-FR"/>
        </w:rPr>
      </w:pPr>
      <w:r w:rsidRPr="00BC37EC">
        <w:rPr>
          <w:i/>
          <w:iCs/>
          <w:noProof/>
          <w:lang w:val="fr-FR"/>
        </w:rPr>
        <mc:AlternateContent>
          <mc:Choice Requires="wps">
            <w:drawing>
              <wp:anchor distT="0" distB="0" distL="114300" distR="114300" simplePos="0" relativeHeight="251661312" behindDoc="1" locked="0" layoutInCell="1" allowOverlap="1" wp14:anchorId="3B634AA3" wp14:editId="4951C3B9">
                <wp:simplePos x="0" y="0"/>
                <wp:positionH relativeFrom="page">
                  <wp:posOffset>1837690</wp:posOffset>
                </wp:positionH>
                <wp:positionV relativeFrom="paragraph">
                  <wp:posOffset>231140</wp:posOffset>
                </wp:positionV>
                <wp:extent cx="30480" cy="10795"/>
                <wp:effectExtent l="0" t="0" r="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7EC2" id="Rectangle 15" o:spid="_x0000_s1026" style="position:absolute;margin-left:144.7pt;margin-top:18.2pt;width:2.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4M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" fillcolor="blue" stroked="f">
                <w10:wrap anchorx="page"/>
              </v:rect>
            </w:pict>
          </mc:Fallback>
        </mc:AlternateContent>
      </w:r>
      <w:r w:rsidRPr="00BC37EC">
        <w:rPr>
          <w:i/>
          <w:iCs/>
          <w:lang w:val="fr-FR"/>
        </w:rPr>
        <w:t>91133 Canada ltée (Syndic de)</w:t>
      </w:r>
      <w:r w:rsidRPr="00BC37EC">
        <w:rPr>
          <w:lang w:val="fr-FR"/>
        </w:rPr>
        <w:t xml:space="preserve">, </w:t>
      </w:r>
      <w:hyperlink r:id="rId82" w:history="1">
        <w:r w:rsidRPr="00BC37EC">
          <w:rPr>
            <w:rStyle w:val="Lienhypertexte"/>
            <w:lang w:val="fr-FR"/>
          </w:rPr>
          <w:t>[2003] R.J.Q. 753</w:t>
        </w:r>
      </w:hyperlink>
      <w:r w:rsidRPr="00BC37EC">
        <w:rPr>
          <w:lang w:val="fr-FR"/>
        </w:rPr>
        <w:t xml:space="preserve"> (C</w:t>
      </w:r>
      <w:r w:rsidR="00134EC0">
        <w:rPr>
          <w:lang w:val="fr-FR"/>
        </w:rPr>
        <w:t>.</w:t>
      </w:r>
      <w:r w:rsidRPr="00BC37EC">
        <w:rPr>
          <w:lang w:val="fr-FR"/>
        </w:rPr>
        <w:t>A</w:t>
      </w:r>
      <w:r w:rsidR="00134EC0">
        <w:rPr>
          <w:lang w:val="fr-FR"/>
        </w:rPr>
        <w:t>.</w:t>
      </w:r>
      <w:r w:rsidRPr="00BC37EC">
        <w:rPr>
          <w:lang w:val="fr-FR"/>
        </w:rPr>
        <w:t>)</w:t>
      </w:r>
    </w:p>
    <w:p w14:paraId="1B7FCB91" w14:textId="77777777" w:rsidR="00BC37EC" w:rsidRPr="00BC37EC" w:rsidRDefault="00BC37EC" w:rsidP="008C58BD">
      <w:pPr>
        <w:pStyle w:val="Harmonisation-tiret"/>
        <w:numPr>
          <w:ilvl w:val="0"/>
          <w:numId w:val="0"/>
        </w:numPr>
        <w:ind w:left="1213"/>
        <w:rPr>
          <w:iCs/>
          <w:lang w:val="fr-FR"/>
        </w:rPr>
      </w:pPr>
      <w:r w:rsidRPr="00BC37EC">
        <w:rPr>
          <w:i/>
          <w:iCs/>
          <w:lang w:val="fr-FR"/>
        </w:rPr>
        <w:t>Lefebvre (Syndic de)</w:t>
      </w:r>
      <w:r w:rsidRPr="00BC37EC">
        <w:rPr>
          <w:lang w:val="fr-FR"/>
        </w:rPr>
        <w:t xml:space="preserve">, </w:t>
      </w:r>
      <w:hyperlink r:id="rId83" w:history="1">
        <w:r w:rsidRPr="00BC37EC">
          <w:rPr>
            <w:rStyle w:val="Lienhypertexte"/>
            <w:lang w:val="fr-FR"/>
          </w:rPr>
          <w:t>2004 CSC 63</w:t>
        </w:r>
      </w:hyperlink>
    </w:p>
    <w:p w14:paraId="10B12D28" w14:textId="77777777" w:rsidR="00BC37EC" w:rsidRPr="00BC37EC" w:rsidRDefault="00BC37EC" w:rsidP="008C58BD">
      <w:pPr>
        <w:pStyle w:val="Harmonisation-tiret"/>
        <w:numPr>
          <w:ilvl w:val="0"/>
          <w:numId w:val="0"/>
        </w:numPr>
        <w:ind w:left="1213"/>
        <w:rPr>
          <w:iCs/>
          <w:lang w:val="fr-FR"/>
        </w:rPr>
      </w:pPr>
      <w:r w:rsidRPr="00BC37EC">
        <w:rPr>
          <w:i/>
          <w:iCs/>
          <w:lang w:val="fr-FR"/>
        </w:rPr>
        <w:t>Ouellet (Syndic de)</w:t>
      </w:r>
      <w:r w:rsidRPr="00BC37EC">
        <w:rPr>
          <w:lang w:val="fr-FR"/>
        </w:rPr>
        <w:t xml:space="preserve">, </w:t>
      </w:r>
      <w:hyperlink r:id="rId84" w:history="1">
        <w:r w:rsidRPr="00BC37EC">
          <w:rPr>
            <w:rStyle w:val="Lienhypertexte"/>
            <w:lang w:val="fr-FR"/>
          </w:rPr>
          <w:t>2004 CSC 64</w:t>
        </w:r>
      </w:hyperlink>
    </w:p>
    <w:p w14:paraId="781E02D6" w14:textId="77777777" w:rsidR="00BC37EC" w:rsidRPr="00BC37EC" w:rsidRDefault="00BC37EC" w:rsidP="008C58BD">
      <w:pPr>
        <w:pStyle w:val="Harmonisation-tiret"/>
        <w:numPr>
          <w:ilvl w:val="0"/>
          <w:numId w:val="0"/>
        </w:numPr>
        <w:ind w:left="1213"/>
        <w:rPr>
          <w:iCs/>
          <w:lang w:val="fr-FR"/>
        </w:rPr>
      </w:pPr>
      <w:r w:rsidRPr="00BC37EC">
        <w:rPr>
          <w:i/>
          <w:iCs/>
          <w:lang w:val="fr-FR"/>
        </w:rPr>
        <w:t>D.I.M.S Constructions inc (Syndic de)</w:t>
      </w:r>
      <w:r w:rsidRPr="00BC37EC">
        <w:rPr>
          <w:lang w:val="fr-FR"/>
        </w:rPr>
        <w:t xml:space="preserve"> c. </w:t>
      </w:r>
      <w:r w:rsidRPr="00BC37EC">
        <w:rPr>
          <w:i/>
          <w:iCs/>
          <w:lang w:val="fr-FR"/>
        </w:rPr>
        <w:t>Québec (Procureur général)</w:t>
      </w:r>
      <w:r w:rsidRPr="00BC37EC">
        <w:rPr>
          <w:lang w:val="fr-FR"/>
        </w:rPr>
        <w:t xml:space="preserve">, </w:t>
      </w:r>
      <w:hyperlink r:id="rId85" w:history="1">
        <w:r w:rsidRPr="00BC37EC">
          <w:rPr>
            <w:rStyle w:val="Lienhypertexte"/>
            <w:lang w:val="fr-FR"/>
          </w:rPr>
          <w:t>2005 CSC 52</w:t>
        </w:r>
      </w:hyperlink>
    </w:p>
    <w:p w14:paraId="325FCB7F" w14:textId="0272148B" w:rsidR="00BC37EC" w:rsidRPr="00BC37EC" w:rsidRDefault="00BC37EC" w:rsidP="008C58BD">
      <w:pPr>
        <w:pStyle w:val="Harmonisation-tiret"/>
        <w:numPr>
          <w:ilvl w:val="0"/>
          <w:numId w:val="0"/>
        </w:numPr>
        <w:ind w:left="1213"/>
        <w:rPr>
          <w:iCs/>
          <w:lang w:val="fr-FR"/>
        </w:rPr>
      </w:pPr>
      <w:r w:rsidRPr="00BC37EC">
        <w:rPr>
          <w:i/>
          <w:iCs/>
          <w:noProof/>
          <w:lang w:val="fr-FR"/>
        </w:rPr>
        <mc:AlternateContent>
          <mc:Choice Requires="wps">
            <w:drawing>
              <wp:anchor distT="0" distB="0" distL="114300" distR="114300" simplePos="0" relativeHeight="251659264" behindDoc="0" locked="0" layoutInCell="1" allowOverlap="1" wp14:anchorId="6B332C80" wp14:editId="5A4B3E9B">
                <wp:simplePos x="0" y="0"/>
                <wp:positionH relativeFrom="page">
                  <wp:posOffset>3453130</wp:posOffset>
                </wp:positionH>
                <wp:positionV relativeFrom="paragraph">
                  <wp:posOffset>231140</wp:posOffset>
                </wp:positionV>
                <wp:extent cx="30480" cy="10795"/>
                <wp:effectExtent l="0" t="0"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6FD9" id="Rectangle 14" o:spid="_x0000_s1026" style="position:absolute;margin-left:271.9pt;margin-top:18.2pt;width:2.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4M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" fillcolor="blue" stroked="f">
                <w10:wrap anchorx="page"/>
              </v:rect>
            </w:pict>
          </mc:Fallback>
        </mc:AlternateContent>
      </w:r>
      <w:r w:rsidRPr="00BC37EC">
        <w:rPr>
          <w:i/>
          <w:iCs/>
          <w:lang w:val="fr-FR"/>
        </w:rPr>
        <w:t>Exode Automobile inc. (Syndic d’)</w:t>
      </w:r>
      <w:r w:rsidRPr="00BC37EC">
        <w:rPr>
          <w:lang w:val="fr-FR"/>
        </w:rPr>
        <w:t xml:space="preserve">, </w:t>
      </w:r>
      <w:hyperlink r:id="rId86" w:history="1">
        <w:r w:rsidRPr="00BC37EC">
          <w:rPr>
            <w:rStyle w:val="Lienhypertexte"/>
            <w:lang w:val="fr-FR"/>
          </w:rPr>
          <w:t>2005 QCCA 1208</w:t>
        </w:r>
      </w:hyperlink>
    </w:p>
    <w:p w14:paraId="200E9570" w14:textId="77777777" w:rsidR="00BC37EC" w:rsidRPr="00BC37EC" w:rsidRDefault="00BC37EC" w:rsidP="008C58BD">
      <w:pPr>
        <w:pStyle w:val="Harmonisation-tiret"/>
        <w:numPr>
          <w:ilvl w:val="0"/>
          <w:numId w:val="0"/>
        </w:numPr>
        <w:ind w:left="1213"/>
        <w:rPr>
          <w:iCs/>
          <w:lang w:val="fr-FR"/>
        </w:rPr>
      </w:pPr>
      <w:r w:rsidRPr="00BC37EC">
        <w:rPr>
          <w:i/>
          <w:iCs/>
          <w:lang w:val="fr-FR"/>
        </w:rPr>
        <w:t>Société de crédit commercial GMAC - Canada</w:t>
      </w:r>
      <w:r w:rsidRPr="00BC37EC">
        <w:rPr>
          <w:lang w:val="fr-FR"/>
        </w:rPr>
        <w:t xml:space="preserve"> c. </w:t>
      </w:r>
      <w:r w:rsidRPr="00BC37EC">
        <w:rPr>
          <w:i/>
          <w:iCs/>
          <w:lang w:val="fr-FR"/>
        </w:rPr>
        <w:t>T.C.T. Logistics inc.</w:t>
      </w:r>
      <w:r w:rsidRPr="00BC37EC">
        <w:rPr>
          <w:lang w:val="fr-FR"/>
        </w:rPr>
        <w:t xml:space="preserve">, </w:t>
      </w:r>
      <w:hyperlink r:id="rId87" w:history="1">
        <w:r w:rsidRPr="00BC37EC">
          <w:rPr>
            <w:rStyle w:val="Lienhypertexte"/>
            <w:lang w:val="fr-FR"/>
          </w:rPr>
          <w:t>2006 CSC 35</w:t>
        </w:r>
      </w:hyperlink>
    </w:p>
    <w:p w14:paraId="6A87BC68" w14:textId="77777777" w:rsidR="00BC37EC" w:rsidRPr="00BC37EC" w:rsidRDefault="00BC37EC" w:rsidP="008C58BD">
      <w:pPr>
        <w:pStyle w:val="Harmonisation-tiret"/>
        <w:numPr>
          <w:ilvl w:val="0"/>
          <w:numId w:val="0"/>
        </w:numPr>
        <w:ind w:left="1213"/>
        <w:rPr>
          <w:iCs/>
          <w:lang w:val="fr-FR"/>
        </w:rPr>
      </w:pPr>
      <w:r w:rsidRPr="00BC37EC">
        <w:rPr>
          <w:i/>
          <w:iCs/>
          <w:lang w:val="fr-FR"/>
        </w:rPr>
        <w:t>AXA Assurances inc.</w:t>
      </w:r>
      <w:r w:rsidRPr="00BC37EC">
        <w:rPr>
          <w:lang w:val="fr-FR"/>
        </w:rPr>
        <w:t xml:space="preserve"> c. </w:t>
      </w:r>
      <w:r w:rsidRPr="00BC37EC">
        <w:rPr>
          <w:i/>
          <w:iCs/>
          <w:lang w:val="fr-FR"/>
        </w:rPr>
        <w:t>Immeubles Saratoga inc.</w:t>
      </w:r>
      <w:r w:rsidRPr="00BC37EC">
        <w:rPr>
          <w:lang w:val="fr-FR"/>
        </w:rPr>
        <w:t xml:space="preserve">, </w:t>
      </w:r>
      <w:hyperlink r:id="rId88" w:history="1">
        <w:r w:rsidRPr="00BC37EC">
          <w:rPr>
            <w:rStyle w:val="Lienhypertexte"/>
            <w:lang w:val="fr-FR"/>
          </w:rPr>
          <w:t>2007 QCCA 1807</w:t>
        </w:r>
      </w:hyperlink>
    </w:p>
    <w:p w14:paraId="7453CFFF" w14:textId="2A437D18" w:rsidR="00BC37EC" w:rsidRPr="005977BA" w:rsidRDefault="00BC37EC" w:rsidP="008C58BD">
      <w:pPr>
        <w:pStyle w:val="Harmonisation-tiret"/>
        <w:numPr>
          <w:ilvl w:val="0"/>
          <w:numId w:val="0"/>
        </w:numPr>
        <w:ind w:left="1213"/>
        <w:rPr>
          <w:iCs/>
        </w:rPr>
      </w:pPr>
      <w:r w:rsidRPr="00DE2DDC">
        <w:rPr>
          <w:i/>
          <w:iCs/>
          <w:lang w:val="en-CA"/>
        </w:rPr>
        <w:t xml:space="preserve">Metcalfe &amp; Mansfield Alternative Investments II Corp. </w:t>
      </w:r>
      <w:r w:rsidRPr="00BC37EC">
        <w:rPr>
          <w:i/>
          <w:iCs/>
          <w:lang w:val="fr-FR"/>
        </w:rPr>
        <w:t>(Re),</w:t>
      </w:r>
      <w:r w:rsidR="00A951C0">
        <w:rPr>
          <w:i/>
          <w:iCs/>
          <w:lang w:val="fr-FR"/>
        </w:rPr>
        <w:t xml:space="preserve"> </w:t>
      </w:r>
      <w:hyperlink r:id="rId89" w:history="1">
        <w:r w:rsidRPr="005977BA">
          <w:rPr>
            <w:rStyle w:val="Lienhypertexte"/>
          </w:rPr>
          <w:t>2008 ONCA 587</w:t>
        </w:r>
      </w:hyperlink>
    </w:p>
    <w:p w14:paraId="4E5F7142" w14:textId="77777777" w:rsidR="00BC37EC" w:rsidRPr="00BC37EC" w:rsidRDefault="00BC37EC" w:rsidP="008C58BD">
      <w:pPr>
        <w:pStyle w:val="Harmonisation-tiret"/>
        <w:numPr>
          <w:ilvl w:val="0"/>
          <w:numId w:val="0"/>
        </w:numPr>
        <w:ind w:left="1213"/>
        <w:rPr>
          <w:iCs/>
        </w:rPr>
      </w:pPr>
      <w:r w:rsidRPr="00BC37EC">
        <w:rPr>
          <w:i/>
          <w:iCs/>
          <w:lang w:val="fr-FR"/>
        </w:rPr>
        <w:t>Caisse populaire Desjardins de l’Est de Drummond</w:t>
      </w:r>
      <w:r w:rsidRPr="00BC37EC">
        <w:rPr>
          <w:lang w:val="fr-FR"/>
        </w:rPr>
        <w:t xml:space="preserve"> c. </w:t>
      </w:r>
      <w:r w:rsidRPr="00BC37EC">
        <w:rPr>
          <w:i/>
          <w:iCs/>
          <w:lang w:val="fr-FR"/>
        </w:rPr>
        <w:t>Canada</w:t>
      </w:r>
      <w:r w:rsidRPr="00BC37EC">
        <w:rPr>
          <w:lang w:val="fr-FR"/>
        </w:rPr>
        <w:t xml:space="preserve">, </w:t>
      </w:r>
      <w:hyperlink r:id="rId90" w:history="1">
        <w:r w:rsidRPr="00BC37EC">
          <w:rPr>
            <w:rStyle w:val="Lienhypertexte"/>
            <w:lang w:val="fr-FR"/>
          </w:rPr>
          <w:t>2009 CSC 29</w:t>
        </w:r>
      </w:hyperlink>
    </w:p>
    <w:p w14:paraId="3E88C220" w14:textId="77777777" w:rsidR="00BC37EC" w:rsidRPr="00BC37EC" w:rsidRDefault="00BC37EC" w:rsidP="008C58BD">
      <w:pPr>
        <w:pStyle w:val="Harmonisation-tiret"/>
        <w:numPr>
          <w:ilvl w:val="0"/>
          <w:numId w:val="0"/>
        </w:numPr>
        <w:ind w:left="1213"/>
        <w:rPr>
          <w:iCs/>
        </w:rPr>
      </w:pPr>
      <w:r w:rsidRPr="00BC37EC">
        <w:rPr>
          <w:i/>
          <w:iCs/>
          <w:lang w:val="fr-FR"/>
        </w:rPr>
        <w:t>Century Services Inc.</w:t>
      </w:r>
      <w:r w:rsidRPr="00BC37EC">
        <w:rPr>
          <w:lang w:val="fr-FR"/>
        </w:rPr>
        <w:t xml:space="preserve"> c. </w:t>
      </w:r>
      <w:r w:rsidRPr="00BC37EC">
        <w:rPr>
          <w:i/>
          <w:iCs/>
          <w:lang w:val="fr-FR"/>
        </w:rPr>
        <w:t>Canada (Procureur général)</w:t>
      </w:r>
      <w:r w:rsidRPr="00BC37EC">
        <w:rPr>
          <w:lang w:val="fr-FR"/>
        </w:rPr>
        <w:t xml:space="preserve">, </w:t>
      </w:r>
      <w:hyperlink r:id="rId91" w:history="1">
        <w:r w:rsidRPr="00BC37EC">
          <w:rPr>
            <w:rStyle w:val="Lienhypertexte"/>
            <w:lang w:val="fr-FR"/>
          </w:rPr>
          <w:t>2010 CSC 60</w:t>
        </w:r>
      </w:hyperlink>
    </w:p>
    <w:p w14:paraId="1F8C149A" w14:textId="77777777" w:rsidR="00BC37EC" w:rsidRPr="00BC37EC" w:rsidRDefault="00BC37EC" w:rsidP="008C58BD">
      <w:pPr>
        <w:pStyle w:val="Harmonisation-tiret"/>
        <w:numPr>
          <w:ilvl w:val="0"/>
          <w:numId w:val="0"/>
        </w:numPr>
        <w:ind w:left="1213"/>
        <w:rPr>
          <w:iCs/>
        </w:rPr>
      </w:pPr>
      <w:r w:rsidRPr="00BC37EC">
        <w:rPr>
          <w:i/>
          <w:iCs/>
          <w:lang w:val="fr-FR"/>
        </w:rPr>
        <w:t>Dawson (Syndic de)</w:t>
      </w:r>
      <w:r w:rsidRPr="00BC37EC">
        <w:rPr>
          <w:lang w:val="fr-FR"/>
        </w:rPr>
        <w:t xml:space="preserve">, </w:t>
      </w:r>
      <w:hyperlink r:id="rId92" w:history="1">
        <w:r w:rsidRPr="00BC37EC">
          <w:rPr>
            <w:rStyle w:val="Lienhypertexte"/>
            <w:lang w:val="fr-FR"/>
          </w:rPr>
          <w:t>2011 QCCA 235</w:t>
        </w:r>
      </w:hyperlink>
      <w:r w:rsidRPr="00BC37EC">
        <w:rPr>
          <w:lang w:val="fr-FR"/>
        </w:rPr>
        <w:t xml:space="preserve"> </w:t>
      </w:r>
    </w:p>
    <w:p w14:paraId="5BFF1CA7" w14:textId="77777777" w:rsidR="00BC37EC" w:rsidRPr="00BC37EC" w:rsidRDefault="00BC37EC" w:rsidP="008C58BD">
      <w:pPr>
        <w:pStyle w:val="Harmonisation-tiret"/>
        <w:numPr>
          <w:ilvl w:val="0"/>
          <w:numId w:val="0"/>
        </w:numPr>
        <w:ind w:left="1213"/>
        <w:rPr>
          <w:iCs/>
        </w:rPr>
      </w:pPr>
      <w:r w:rsidRPr="00BC37EC">
        <w:rPr>
          <w:i/>
          <w:iCs/>
          <w:lang w:val="fr-FR"/>
        </w:rPr>
        <w:t>Terre-Neuve-et-Labrador</w:t>
      </w:r>
      <w:r w:rsidRPr="00BC37EC">
        <w:rPr>
          <w:lang w:val="fr-FR"/>
        </w:rPr>
        <w:t xml:space="preserve"> c. </w:t>
      </w:r>
      <w:r w:rsidRPr="00BC37EC">
        <w:rPr>
          <w:i/>
          <w:iCs/>
          <w:lang w:val="fr-FR"/>
        </w:rPr>
        <w:t>AbitibiBowater Inc.</w:t>
      </w:r>
      <w:r w:rsidRPr="00BC37EC">
        <w:rPr>
          <w:lang w:val="fr-FR"/>
        </w:rPr>
        <w:t xml:space="preserve">, </w:t>
      </w:r>
      <w:hyperlink r:id="rId93" w:history="1">
        <w:r w:rsidRPr="00BC37EC">
          <w:rPr>
            <w:rStyle w:val="Lienhypertexte"/>
            <w:lang w:val="fr-FR"/>
          </w:rPr>
          <w:t>2012 CSC 67</w:t>
        </w:r>
      </w:hyperlink>
    </w:p>
    <w:p w14:paraId="64FB2229" w14:textId="77777777" w:rsidR="00BC37EC" w:rsidRPr="00BC37EC" w:rsidRDefault="00BC37EC" w:rsidP="008C58BD">
      <w:pPr>
        <w:pStyle w:val="Harmonisation-tiret"/>
        <w:numPr>
          <w:ilvl w:val="0"/>
          <w:numId w:val="0"/>
        </w:numPr>
        <w:ind w:left="1213"/>
        <w:rPr>
          <w:iCs/>
        </w:rPr>
      </w:pPr>
      <w:r w:rsidRPr="00BC37EC">
        <w:rPr>
          <w:i/>
          <w:iCs/>
          <w:lang w:val="fr-FR"/>
        </w:rPr>
        <w:t>Commission de la santé et de la sécurité du travail</w:t>
      </w:r>
      <w:r w:rsidRPr="00BC37EC">
        <w:rPr>
          <w:lang w:val="fr-FR"/>
        </w:rPr>
        <w:t xml:space="preserve"> c. </w:t>
      </w:r>
      <w:r w:rsidRPr="00BC37EC">
        <w:rPr>
          <w:i/>
          <w:iCs/>
          <w:lang w:val="fr-FR"/>
        </w:rPr>
        <w:t>Dolbec Transport</w:t>
      </w:r>
      <w:r w:rsidRPr="00BC37EC">
        <w:rPr>
          <w:lang w:val="fr-FR"/>
        </w:rPr>
        <w:t xml:space="preserve">, </w:t>
      </w:r>
      <w:hyperlink r:id="rId94" w:history="1">
        <w:r w:rsidRPr="00BC37EC">
          <w:rPr>
            <w:rStyle w:val="Lienhypertexte"/>
            <w:lang w:val="fr-FR"/>
          </w:rPr>
          <w:t>2012 QCCA 698</w:t>
        </w:r>
      </w:hyperlink>
    </w:p>
    <w:p w14:paraId="115A6387" w14:textId="77777777" w:rsidR="00BC37EC" w:rsidRPr="00BC37EC" w:rsidRDefault="00BC37EC" w:rsidP="008C58BD">
      <w:pPr>
        <w:pStyle w:val="Harmonisation-tiret"/>
        <w:numPr>
          <w:ilvl w:val="0"/>
          <w:numId w:val="0"/>
        </w:numPr>
        <w:ind w:left="1213"/>
        <w:rPr>
          <w:iCs/>
        </w:rPr>
      </w:pPr>
      <w:r w:rsidRPr="00BC37EC">
        <w:rPr>
          <w:i/>
          <w:iCs/>
          <w:lang w:val="fr-FR"/>
        </w:rPr>
        <w:t>Canada (Procureur Général)</w:t>
      </w:r>
      <w:r w:rsidRPr="00BC37EC">
        <w:rPr>
          <w:lang w:val="fr-FR"/>
        </w:rPr>
        <w:t xml:space="preserve"> c. </w:t>
      </w:r>
      <w:r w:rsidRPr="00BC37EC">
        <w:rPr>
          <w:i/>
          <w:iCs/>
          <w:lang w:val="fr-FR"/>
        </w:rPr>
        <w:t>Koch</w:t>
      </w:r>
      <w:r w:rsidRPr="00BC37EC">
        <w:rPr>
          <w:lang w:val="fr-FR"/>
        </w:rPr>
        <w:t xml:space="preserve">, </w:t>
      </w:r>
      <w:hyperlink r:id="rId95" w:history="1">
        <w:r w:rsidRPr="00BC37EC">
          <w:rPr>
            <w:rStyle w:val="Lienhypertexte"/>
            <w:lang w:val="fr-FR"/>
          </w:rPr>
          <w:t>2012 QCCA 2207</w:t>
        </w:r>
      </w:hyperlink>
    </w:p>
    <w:p w14:paraId="53A8E358" w14:textId="77777777" w:rsidR="00BC37EC" w:rsidRPr="00BC37EC" w:rsidRDefault="00BC37EC" w:rsidP="008C58BD">
      <w:pPr>
        <w:pStyle w:val="Harmonisation-tiret"/>
        <w:numPr>
          <w:ilvl w:val="0"/>
          <w:numId w:val="0"/>
        </w:numPr>
        <w:ind w:left="1213"/>
        <w:rPr>
          <w:iCs/>
        </w:rPr>
      </w:pPr>
      <w:r w:rsidRPr="00BC37EC">
        <w:rPr>
          <w:i/>
          <w:iCs/>
          <w:lang w:val="fr-FR"/>
        </w:rPr>
        <w:t>Sun Indalex Finance, LLC</w:t>
      </w:r>
      <w:r w:rsidRPr="00BC37EC">
        <w:rPr>
          <w:lang w:val="fr-FR"/>
        </w:rPr>
        <w:t xml:space="preserve"> c. </w:t>
      </w:r>
      <w:r w:rsidRPr="00BC37EC">
        <w:rPr>
          <w:i/>
          <w:iCs/>
          <w:lang w:val="fr-FR"/>
        </w:rPr>
        <w:t>Syndicat des Métallos</w:t>
      </w:r>
      <w:r w:rsidRPr="00BC37EC">
        <w:rPr>
          <w:lang w:val="fr-FR"/>
        </w:rPr>
        <w:t xml:space="preserve">, </w:t>
      </w:r>
      <w:hyperlink r:id="rId96" w:history="1">
        <w:r w:rsidRPr="00BC37EC">
          <w:rPr>
            <w:rStyle w:val="Lienhypertexte"/>
            <w:lang w:val="fr-FR"/>
          </w:rPr>
          <w:t>2013 CSC 6</w:t>
        </w:r>
      </w:hyperlink>
    </w:p>
    <w:p w14:paraId="112694BE" w14:textId="77777777" w:rsidR="00BC37EC" w:rsidRPr="00BC37EC" w:rsidRDefault="00BC37EC" w:rsidP="008C58BD">
      <w:pPr>
        <w:pStyle w:val="Harmonisation-tiret"/>
        <w:numPr>
          <w:ilvl w:val="0"/>
          <w:numId w:val="0"/>
        </w:numPr>
        <w:ind w:left="1213"/>
        <w:rPr>
          <w:iCs/>
          <w:lang w:val="en-CA"/>
        </w:rPr>
      </w:pPr>
      <w:r w:rsidRPr="00BC37EC">
        <w:rPr>
          <w:i/>
          <w:iCs/>
          <w:lang w:val="en-CA"/>
        </w:rPr>
        <w:lastRenderedPageBreak/>
        <w:t>Saskatchewan (Procureur General)</w:t>
      </w:r>
      <w:r w:rsidRPr="00BC37EC">
        <w:rPr>
          <w:lang w:val="en-CA"/>
        </w:rPr>
        <w:t xml:space="preserve"> c. </w:t>
      </w:r>
      <w:r w:rsidRPr="00BC37EC">
        <w:rPr>
          <w:i/>
          <w:iCs/>
          <w:lang w:val="en-CA"/>
        </w:rPr>
        <w:t>Lemare Lake Logging Ltd.</w:t>
      </w:r>
      <w:r w:rsidRPr="00BC37EC">
        <w:rPr>
          <w:lang w:val="en-CA"/>
        </w:rPr>
        <w:t xml:space="preserve">, </w:t>
      </w:r>
      <w:hyperlink r:id="rId97" w:history="1">
        <w:r w:rsidRPr="00BC37EC">
          <w:rPr>
            <w:rStyle w:val="Lienhypertexte"/>
            <w:lang w:val="en-CA"/>
          </w:rPr>
          <w:t>2015 CSC 53</w:t>
        </w:r>
      </w:hyperlink>
      <w:r w:rsidRPr="00BC37EC">
        <w:rPr>
          <w:lang w:val="en-CA"/>
        </w:rPr>
        <w:t xml:space="preserve"> </w:t>
      </w:r>
    </w:p>
    <w:p w14:paraId="1024F479" w14:textId="77777777" w:rsidR="00BC37EC" w:rsidRPr="00BC37EC" w:rsidRDefault="00BC37EC" w:rsidP="008C58BD">
      <w:pPr>
        <w:pStyle w:val="Harmonisation-tiret"/>
        <w:numPr>
          <w:ilvl w:val="0"/>
          <w:numId w:val="0"/>
        </w:numPr>
        <w:ind w:left="1213"/>
        <w:rPr>
          <w:iCs/>
        </w:rPr>
      </w:pPr>
      <w:r w:rsidRPr="00073E0A">
        <w:rPr>
          <w:i/>
          <w:iCs/>
          <w:lang w:val="fr-FR"/>
        </w:rPr>
        <w:t>Arrangement relatif à Métaux Kitco inc.</w:t>
      </w:r>
      <w:r w:rsidRPr="00BC37EC">
        <w:rPr>
          <w:lang w:val="fr-FR"/>
        </w:rPr>
        <w:t xml:space="preserve">, </w:t>
      </w:r>
      <w:hyperlink r:id="rId98" w:history="1">
        <w:r w:rsidRPr="00BC37EC">
          <w:rPr>
            <w:rStyle w:val="Lienhypertexte"/>
            <w:lang w:val="fr-FR"/>
          </w:rPr>
          <w:t>2017 QCCA 268</w:t>
        </w:r>
      </w:hyperlink>
      <w:r w:rsidRPr="00BC37EC">
        <w:rPr>
          <w:lang w:val="fr-FR"/>
        </w:rPr>
        <w:t xml:space="preserve"> </w:t>
      </w:r>
    </w:p>
    <w:p w14:paraId="74C38951" w14:textId="77777777" w:rsidR="00BC37EC" w:rsidRPr="00BC37EC" w:rsidRDefault="00BC37EC" w:rsidP="008C58BD">
      <w:pPr>
        <w:pStyle w:val="Harmonisation-tiret"/>
        <w:numPr>
          <w:ilvl w:val="0"/>
          <w:numId w:val="0"/>
        </w:numPr>
        <w:ind w:left="1213"/>
        <w:rPr>
          <w:iCs/>
          <w:lang w:val="en-CA"/>
        </w:rPr>
      </w:pPr>
      <w:r w:rsidRPr="00BC37EC">
        <w:rPr>
          <w:i/>
          <w:iCs/>
          <w:lang w:val="en-CA"/>
        </w:rPr>
        <w:t>Orphan Well Association</w:t>
      </w:r>
      <w:r w:rsidRPr="00BC37EC">
        <w:rPr>
          <w:lang w:val="en-CA"/>
        </w:rPr>
        <w:t xml:space="preserve"> c. </w:t>
      </w:r>
      <w:r w:rsidRPr="00BC37EC">
        <w:rPr>
          <w:i/>
          <w:iCs/>
          <w:lang w:val="en-CA"/>
        </w:rPr>
        <w:t>Grant Thornton Ltd.</w:t>
      </w:r>
      <w:r w:rsidRPr="00BC37EC">
        <w:rPr>
          <w:lang w:val="en-CA"/>
        </w:rPr>
        <w:t xml:space="preserve">, </w:t>
      </w:r>
      <w:hyperlink r:id="rId99" w:history="1">
        <w:r w:rsidRPr="00BC37EC">
          <w:rPr>
            <w:rStyle w:val="Lienhypertexte"/>
            <w:lang w:val="en-CA"/>
          </w:rPr>
          <w:t>2019 CSC 5</w:t>
        </w:r>
      </w:hyperlink>
      <w:r w:rsidRPr="00BC37EC">
        <w:rPr>
          <w:lang w:val="en-CA"/>
        </w:rPr>
        <w:t xml:space="preserve"> </w:t>
      </w:r>
    </w:p>
    <w:p w14:paraId="0C77CD95" w14:textId="77777777" w:rsidR="00BC37EC" w:rsidRPr="00BC37EC" w:rsidRDefault="00BC37EC" w:rsidP="008C58BD">
      <w:pPr>
        <w:pStyle w:val="Harmonisation-tiret"/>
        <w:numPr>
          <w:ilvl w:val="0"/>
          <w:numId w:val="0"/>
        </w:numPr>
        <w:ind w:left="1213"/>
        <w:rPr>
          <w:iCs/>
        </w:rPr>
      </w:pPr>
      <w:r w:rsidRPr="00BC37EC">
        <w:rPr>
          <w:i/>
          <w:iCs/>
          <w:lang w:val="fr-FR"/>
        </w:rPr>
        <w:t>9354-9186 Québec inc.</w:t>
      </w:r>
      <w:r w:rsidRPr="00BC37EC">
        <w:rPr>
          <w:lang w:val="fr-FR"/>
        </w:rPr>
        <w:t xml:space="preserve"> c. </w:t>
      </w:r>
      <w:r w:rsidRPr="00BC37EC">
        <w:rPr>
          <w:i/>
          <w:iCs/>
          <w:lang w:val="fr-FR"/>
        </w:rPr>
        <w:t>Callidus Capital Corp.</w:t>
      </w:r>
      <w:r w:rsidRPr="00BC37EC">
        <w:rPr>
          <w:lang w:val="fr-FR"/>
        </w:rPr>
        <w:t xml:space="preserve">, </w:t>
      </w:r>
      <w:hyperlink r:id="rId100" w:history="1">
        <w:r w:rsidRPr="00BC37EC">
          <w:rPr>
            <w:rStyle w:val="Lienhypertexte"/>
            <w:lang w:val="fr-FR"/>
          </w:rPr>
          <w:t>2020 CSC 10</w:t>
        </w:r>
      </w:hyperlink>
      <w:r w:rsidRPr="00BC37EC">
        <w:rPr>
          <w:lang w:val="fr-FR"/>
        </w:rPr>
        <w:t xml:space="preserve"> </w:t>
      </w:r>
    </w:p>
    <w:p w14:paraId="6B1688FF" w14:textId="77777777" w:rsidR="00BC37EC" w:rsidRPr="00BC37EC" w:rsidRDefault="00BC37EC" w:rsidP="008C58BD">
      <w:pPr>
        <w:pStyle w:val="Harmonisation-tiret"/>
        <w:numPr>
          <w:ilvl w:val="0"/>
          <w:numId w:val="0"/>
        </w:numPr>
        <w:ind w:left="1213"/>
        <w:rPr>
          <w:iCs/>
        </w:rPr>
      </w:pPr>
      <w:r w:rsidRPr="00BC37EC">
        <w:rPr>
          <w:i/>
          <w:iCs/>
          <w:lang w:val="fr-FR"/>
        </w:rPr>
        <w:t>Chandos Construction Ltd.</w:t>
      </w:r>
      <w:r w:rsidRPr="00BC37EC">
        <w:rPr>
          <w:lang w:val="fr-FR"/>
        </w:rPr>
        <w:t xml:space="preserve"> c. </w:t>
      </w:r>
      <w:r w:rsidRPr="00BC37EC">
        <w:rPr>
          <w:i/>
          <w:iCs/>
          <w:lang w:val="fr-FR"/>
        </w:rPr>
        <w:t>Restructuration Deloitte Inc.</w:t>
      </w:r>
      <w:r w:rsidRPr="00BC37EC">
        <w:rPr>
          <w:lang w:val="fr-FR"/>
        </w:rPr>
        <w:t xml:space="preserve">, </w:t>
      </w:r>
      <w:hyperlink r:id="rId101" w:history="1">
        <w:r w:rsidRPr="00BC37EC">
          <w:rPr>
            <w:rStyle w:val="Lienhypertexte"/>
            <w:lang w:val="fr-FR"/>
          </w:rPr>
          <w:t>2020 CSC 25</w:t>
        </w:r>
      </w:hyperlink>
      <w:r w:rsidRPr="00BC37EC">
        <w:rPr>
          <w:lang w:val="fr-FR"/>
        </w:rPr>
        <w:t xml:space="preserve"> </w:t>
      </w:r>
    </w:p>
    <w:p w14:paraId="5A927D7F" w14:textId="77777777" w:rsidR="00BC37EC" w:rsidRPr="00BC37EC" w:rsidRDefault="00BC37EC" w:rsidP="008C58BD">
      <w:pPr>
        <w:pStyle w:val="Harmonisation-tiret"/>
        <w:numPr>
          <w:ilvl w:val="0"/>
          <w:numId w:val="0"/>
        </w:numPr>
        <w:ind w:left="1213"/>
        <w:rPr>
          <w:iCs/>
        </w:rPr>
      </w:pPr>
      <w:r w:rsidRPr="00BC37EC">
        <w:rPr>
          <w:i/>
          <w:iCs/>
          <w:lang w:val="fr-FR"/>
        </w:rPr>
        <w:t>Séquestre de Media5 Corporation</w:t>
      </w:r>
      <w:r w:rsidRPr="00BC37EC">
        <w:rPr>
          <w:lang w:val="fr-FR"/>
        </w:rPr>
        <w:t xml:space="preserve">, </w:t>
      </w:r>
      <w:hyperlink r:id="rId102" w:history="1">
        <w:r w:rsidRPr="00BC37EC">
          <w:rPr>
            <w:rStyle w:val="Lienhypertexte"/>
            <w:lang w:val="fr-FR"/>
          </w:rPr>
          <w:t>2020 QCCA 943</w:t>
        </w:r>
      </w:hyperlink>
      <w:r w:rsidRPr="00BC37EC">
        <w:rPr>
          <w:lang w:val="fr-FR"/>
        </w:rPr>
        <w:t xml:space="preserve"> </w:t>
      </w:r>
    </w:p>
    <w:p w14:paraId="40E5497A" w14:textId="77777777" w:rsidR="00BC37EC" w:rsidRPr="00BC37EC" w:rsidRDefault="00BC37EC" w:rsidP="008C58BD">
      <w:pPr>
        <w:pStyle w:val="Harmonisation-tiret"/>
        <w:numPr>
          <w:ilvl w:val="0"/>
          <w:numId w:val="0"/>
        </w:numPr>
        <w:ind w:left="1213"/>
        <w:rPr>
          <w:iCs/>
        </w:rPr>
      </w:pPr>
      <w:r w:rsidRPr="00BC37EC">
        <w:rPr>
          <w:i/>
          <w:iCs/>
          <w:lang w:val="fr-FR"/>
        </w:rPr>
        <w:t>Arrangement relatif à Nemaska Lithium inc.</w:t>
      </w:r>
      <w:r w:rsidRPr="00BC37EC">
        <w:rPr>
          <w:lang w:val="fr-FR"/>
        </w:rPr>
        <w:t xml:space="preserve">, </w:t>
      </w:r>
      <w:hyperlink r:id="rId103" w:history="1">
        <w:r w:rsidRPr="00BC37EC">
          <w:rPr>
            <w:rStyle w:val="Lienhypertexte"/>
            <w:lang w:val="fr-FR"/>
          </w:rPr>
          <w:t>2020 QCCA 1488</w:t>
        </w:r>
      </w:hyperlink>
      <w:r w:rsidRPr="00BC37EC">
        <w:rPr>
          <w:lang w:val="fr-FR"/>
        </w:rPr>
        <w:t xml:space="preserve"> </w:t>
      </w:r>
    </w:p>
    <w:p w14:paraId="3740AD14" w14:textId="77777777" w:rsidR="00BC37EC" w:rsidRPr="00BC37EC" w:rsidRDefault="00BC37EC" w:rsidP="008C58BD">
      <w:pPr>
        <w:pStyle w:val="Harmonisation-tiret"/>
        <w:numPr>
          <w:ilvl w:val="0"/>
          <w:numId w:val="0"/>
        </w:numPr>
        <w:ind w:left="1213"/>
        <w:rPr>
          <w:iCs/>
          <w:lang w:val="en-CA"/>
        </w:rPr>
      </w:pPr>
      <w:r w:rsidRPr="00BC37EC">
        <w:rPr>
          <w:i/>
          <w:iCs/>
          <w:lang w:val="en-CA"/>
        </w:rPr>
        <w:t>Sherman (Succession)</w:t>
      </w:r>
      <w:r w:rsidRPr="00BC37EC">
        <w:rPr>
          <w:lang w:val="en-CA"/>
        </w:rPr>
        <w:t xml:space="preserve"> c. </w:t>
      </w:r>
      <w:r w:rsidRPr="00BC37EC">
        <w:rPr>
          <w:i/>
          <w:iCs/>
          <w:lang w:val="en-CA"/>
        </w:rPr>
        <w:t>Donovan</w:t>
      </w:r>
      <w:r w:rsidRPr="00BC37EC">
        <w:rPr>
          <w:lang w:val="en-CA"/>
        </w:rPr>
        <w:t xml:space="preserve">, </w:t>
      </w:r>
      <w:hyperlink r:id="rId104" w:history="1">
        <w:r w:rsidRPr="00BC37EC">
          <w:rPr>
            <w:rStyle w:val="Lienhypertexte"/>
            <w:lang w:val="en-CA"/>
          </w:rPr>
          <w:t>2021 CSC 25</w:t>
        </w:r>
      </w:hyperlink>
      <w:r w:rsidRPr="00BC37EC">
        <w:rPr>
          <w:lang w:val="en-CA"/>
        </w:rPr>
        <w:t xml:space="preserve"> </w:t>
      </w:r>
    </w:p>
    <w:p w14:paraId="473CB759" w14:textId="77777777" w:rsidR="00BC37EC" w:rsidRPr="00BC37EC" w:rsidRDefault="00BC37EC" w:rsidP="008C58BD">
      <w:pPr>
        <w:pStyle w:val="Harmonisation-tiret"/>
        <w:numPr>
          <w:ilvl w:val="0"/>
          <w:numId w:val="0"/>
        </w:numPr>
        <w:ind w:left="1213"/>
        <w:rPr>
          <w:iCs/>
          <w:lang w:val="en-CA"/>
        </w:rPr>
      </w:pPr>
      <w:r w:rsidRPr="00BC37EC">
        <w:rPr>
          <w:i/>
          <w:iCs/>
          <w:lang w:val="en-CA"/>
        </w:rPr>
        <w:t>Canada</w:t>
      </w:r>
      <w:r w:rsidRPr="00BC37EC">
        <w:rPr>
          <w:lang w:val="en-CA"/>
        </w:rPr>
        <w:t xml:space="preserve"> c. </w:t>
      </w:r>
      <w:r w:rsidRPr="00BC37EC">
        <w:rPr>
          <w:i/>
          <w:iCs/>
          <w:lang w:val="en-CA"/>
        </w:rPr>
        <w:t>Canada North Group Inc.</w:t>
      </w:r>
      <w:r w:rsidRPr="00BC37EC">
        <w:rPr>
          <w:lang w:val="en-CA"/>
        </w:rPr>
        <w:t xml:space="preserve">, </w:t>
      </w:r>
      <w:hyperlink r:id="rId105" w:history="1">
        <w:r w:rsidRPr="00BC37EC">
          <w:rPr>
            <w:rStyle w:val="Lienhypertexte"/>
            <w:lang w:val="en-CA"/>
          </w:rPr>
          <w:t>2021 CSC 30</w:t>
        </w:r>
      </w:hyperlink>
      <w:r w:rsidRPr="00BC37EC">
        <w:rPr>
          <w:lang w:val="en-CA"/>
        </w:rPr>
        <w:t xml:space="preserve"> </w:t>
      </w:r>
    </w:p>
    <w:p w14:paraId="64F47078" w14:textId="658C598F" w:rsidR="00EB33B6" w:rsidRDefault="00BC37EC" w:rsidP="008C58BD">
      <w:pPr>
        <w:pStyle w:val="Harmonisation-tiret"/>
        <w:numPr>
          <w:ilvl w:val="0"/>
          <w:numId w:val="0"/>
        </w:numPr>
        <w:ind w:left="1213"/>
        <w:rPr>
          <w:lang w:val="fr-FR"/>
        </w:rPr>
      </w:pPr>
      <w:r w:rsidRPr="00BC37EC">
        <w:rPr>
          <w:i/>
          <w:iCs/>
          <w:lang w:val="fr-FR"/>
        </w:rPr>
        <w:t>Montréal (Ville)</w:t>
      </w:r>
      <w:r w:rsidRPr="00BC37EC">
        <w:rPr>
          <w:lang w:val="fr-FR"/>
        </w:rPr>
        <w:t xml:space="preserve"> c. </w:t>
      </w:r>
      <w:r w:rsidRPr="00BC37EC">
        <w:rPr>
          <w:i/>
          <w:iCs/>
          <w:lang w:val="fr-FR"/>
        </w:rPr>
        <w:t>Restructuration Deloitte Inc.</w:t>
      </w:r>
      <w:r w:rsidRPr="00BC37EC">
        <w:rPr>
          <w:lang w:val="fr-FR"/>
        </w:rPr>
        <w:t xml:space="preserve">, </w:t>
      </w:r>
      <w:hyperlink r:id="rId106" w:history="1">
        <w:r w:rsidRPr="00BC37EC">
          <w:rPr>
            <w:rStyle w:val="Lienhypertexte"/>
            <w:lang w:val="fr-FR"/>
          </w:rPr>
          <w:t>2021 CSC 53</w:t>
        </w:r>
      </w:hyperlink>
      <w:r w:rsidRPr="00BC37EC">
        <w:rPr>
          <w:lang w:val="fr-FR"/>
        </w:rPr>
        <w:t xml:space="preserve"> </w:t>
      </w:r>
    </w:p>
    <w:p w14:paraId="5454A6D4" w14:textId="77777777" w:rsidR="008C58BD" w:rsidRDefault="008C58BD" w:rsidP="008C58BD">
      <w:pPr>
        <w:pStyle w:val="Harmonisation-tiret"/>
        <w:numPr>
          <w:ilvl w:val="0"/>
          <w:numId w:val="0"/>
        </w:numPr>
        <w:ind w:left="1213"/>
        <w:rPr>
          <w:iCs/>
        </w:rPr>
      </w:pPr>
    </w:p>
    <w:p w14:paraId="081C50EF" w14:textId="77777777" w:rsidR="000D2880" w:rsidRDefault="006229F3" w:rsidP="00073E0A">
      <w:pPr>
        <w:pStyle w:val="Harmonisation-titre2"/>
      </w:pPr>
      <w:bookmarkStart w:id="121" w:name="_Toc154072914"/>
      <w:r>
        <w:t>E</w:t>
      </w:r>
      <w:r w:rsidR="000D2880">
        <w:t>n matière d’oppression</w:t>
      </w:r>
      <w:bookmarkEnd w:id="121"/>
    </w:p>
    <w:p w14:paraId="7594FB58" w14:textId="047A2D0E" w:rsidR="00BC37EC" w:rsidRPr="00BC37EC" w:rsidRDefault="00BC37EC" w:rsidP="00073E0A">
      <w:pPr>
        <w:pStyle w:val="Harmonisation-tiret"/>
        <w:numPr>
          <w:ilvl w:val="0"/>
          <w:numId w:val="0"/>
        </w:numPr>
        <w:ind w:left="568" w:firstLine="708"/>
      </w:pPr>
      <w:r w:rsidRPr="00BC37EC">
        <w:rPr>
          <w:rFonts w:eastAsia="Arial"/>
          <w:lang w:val="fr-FR"/>
        </w:rPr>
        <w:t>(Présentées</w:t>
      </w:r>
      <w:r w:rsidRPr="00BC37EC">
        <w:rPr>
          <w:rFonts w:eastAsia="Arial"/>
          <w:spacing w:val="-12"/>
          <w:lang w:val="fr-FR"/>
        </w:rPr>
        <w:t xml:space="preserve"> </w:t>
      </w:r>
      <w:r w:rsidRPr="00BC37EC">
        <w:rPr>
          <w:rFonts w:eastAsia="Arial"/>
          <w:lang w:val="fr-FR"/>
        </w:rPr>
        <w:t>en</w:t>
      </w:r>
      <w:r w:rsidRPr="00BC37EC">
        <w:rPr>
          <w:rFonts w:eastAsia="Arial"/>
          <w:spacing w:val="-11"/>
          <w:lang w:val="fr-FR"/>
        </w:rPr>
        <w:t xml:space="preserve"> </w:t>
      </w:r>
      <w:r w:rsidRPr="00BC37EC">
        <w:rPr>
          <w:rFonts w:eastAsia="Arial"/>
          <w:lang w:val="fr-FR"/>
        </w:rPr>
        <w:t>ordre</w:t>
      </w:r>
      <w:r w:rsidRPr="00BC37EC">
        <w:rPr>
          <w:rFonts w:eastAsia="Arial"/>
          <w:spacing w:val="-11"/>
          <w:lang w:val="fr-FR"/>
        </w:rPr>
        <w:t xml:space="preserve"> </w:t>
      </w:r>
      <w:r w:rsidRPr="00BC37EC">
        <w:rPr>
          <w:rFonts w:eastAsia="Arial"/>
          <w:spacing w:val="-2"/>
          <w:lang w:val="fr-FR"/>
        </w:rPr>
        <w:t>chronologique)</w:t>
      </w:r>
    </w:p>
    <w:p w14:paraId="6F7B6443" w14:textId="7C345C66" w:rsidR="00BC37EC" w:rsidRPr="00BC37EC" w:rsidRDefault="0074466F" w:rsidP="008C58BD">
      <w:pPr>
        <w:widowControl w:val="0"/>
        <w:tabs>
          <w:tab w:val="left" w:pos="284"/>
        </w:tabs>
        <w:autoSpaceDE w:val="0"/>
        <w:autoSpaceDN w:val="0"/>
        <w:spacing w:after="0" w:line="240" w:lineRule="auto"/>
        <w:ind w:left="1276"/>
        <w:rPr>
          <w:rFonts w:eastAsia="Arial"/>
          <w:i/>
        </w:rPr>
      </w:pPr>
      <w:hyperlink r:id="rId107">
        <w:r w:rsidR="00BC37EC" w:rsidRPr="00073E0A">
          <w:rPr>
            <w:rFonts w:eastAsia="Arial"/>
            <w:i/>
            <w:lang w:val="en-CA"/>
          </w:rPr>
          <w:t>Sulzer</w:t>
        </w:r>
        <w:r w:rsidR="00BC37EC" w:rsidRPr="00073E0A">
          <w:rPr>
            <w:rFonts w:eastAsia="Arial"/>
            <w:i/>
            <w:spacing w:val="-2"/>
            <w:lang w:val="en-CA"/>
          </w:rPr>
          <w:t xml:space="preserve"> </w:t>
        </w:r>
        <w:r w:rsidR="00BC37EC" w:rsidRPr="00073E0A">
          <w:rPr>
            <w:rFonts w:eastAsia="Arial"/>
            <w:i/>
            <w:lang w:val="en-CA"/>
          </w:rPr>
          <w:t>Medica</w:t>
        </w:r>
        <w:r w:rsidR="00BC37EC" w:rsidRPr="00073E0A">
          <w:rPr>
            <w:rFonts w:eastAsia="Arial"/>
            <w:i/>
            <w:spacing w:val="-3"/>
            <w:lang w:val="en-CA"/>
          </w:rPr>
          <w:t xml:space="preserve"> </w:t>
        </w:r>
        <w:r w:rsidR="00BC37EC" w:rsidRPr="00073E0A">
          <w:rPr>
            <w:rFonts w:eastAsia="Arial"/>
            <w:i/>
            <w:lang w:val="en-CA"/>
          </w:rPr>
          <w:t>AG</w:t>
        </w:r>
        <w:r w:rsidR="00BC37EC" w:rsidRPr="00073E0A">
          <w:rPr>
            <w:rFonts w:eastAsia="Arial"/>
            <w:iCs/>
            <w:spacing w:val="-2"/>
            <w:lang w:val="en-CA"/>
          </w:rPr>
          <w:t xml:space="preserve"> </w:t>
        </w:r>
        <w:r w:rsidR="00BC37EC" w:rsidRPr="00073E0A">
          <w:rPr>
            <w:rFonts w:eastAsia="Arial"/>
            <w:iCs/>
            <w:lang w:val="en-CA"/>
          </w:rPr>
          <w:t>c.</w:t>
        </w:r>
        <w:r w:rsidR="00BC37EC" w:rsidRPr="00073E0A">
          <w:rPr>
            <w:rFonts w:eastAsia="Arial"/>
            <w:i/>
            <w:spacing w:val="-5"/>
            <w:lang w:val="en-CA"/>
          </w:rPr>
          <w:t xml:space="preserve"> </w:t>
        </w:r>
        <w:r w:rsidR="00BC37EC" w:rsidRPr="00073E0A">
          <w:rPr>
            <w:rFonts w:eastAsia="Arial"/>
            <w:i/>
            <w:lang w:val="en-CA"/>
          </w:rPr>
          <w:t>Krela</w:t>
        </w:r>
      </w:hyperlink>
      <w:r w:rsidR="00BC37EC" w:rsidRPr="00073E0A">
        <w:rPr>
          <w:rFonts w:eastAsia="Arial"/>
          <w:i/>
          <w:lang w:val="en-CA"/>
        </w:rPr>
        <w:t>,</w:t>
      </w:r>
      <w:r w:rsidR="00BC37EC" w:rsidRPr="00073E0A">
        <w:rPr>
          <w:rFonts w:eastAsia="Arial"/>
          <w:iCs/>
          <w:spacing w:val="-2"/>
          <w:lang w:val="en-CA"/>
        </w:rPr>
        <w:t xml:space="preserve"> </w:t>
      </w:r>
      <w:hyperlink r:id="rId108" w:history="1">
        <w:r w:rsidR="00BC37EC" w:rsidRPr="00073E0A">
          <w:rPr>
            <w:rStyle w:val="Lienhypertexte"/>
            <w:lang w:val="en-CA"/>
          </w:rPr>
          <w:t>J.E. 2003-45</w:t>
        </w:r>
      </w:hyperlink>
      <w:r w:rsidR="00BC37EC" w:rsidRPr="00073E0A">
        <w:rPr>
          <w:rFonts w:eastAsia="Arial"/>
          <w:iCs/>
          <w:spacing w:val="-2"/>
          <w:lang w:val="en-CA"/>
        </w:rPr>
        <w:t xml:space="preserve"> (</w:t>
      </w:r>
      <w:r w:rsidR="00BC37EC" w:rsidRPr="00073E0A">
        <w:rPr>
          <w:rFonts w:eastAsia="Arial"/>
          <w:iCs/>
          <w:lang w:val="en-CA"/>
        </w:rPr>
        <w:t>C</w:t>
      </w:r>
      <w:r w:rsidR="00134EC0" w:rsidRPr="00073E0A">
        <w:rPr>
          <w:rFonts w:eastAsia="Arial"/>
          <w:iCs/>
          <w:lang w:val="en-CA"/>
        </w:rPr>
        <w:t>.</w:t>
      </w:r>
      <w:r w:rsidR="00BC37EC" w:rsidRPr="00073E0A">
        <w:rPr>
          <w:rFonts w:eastAsia="Arial"/>
          <w:iCs/>
          <w:lang w:val="en-CA"/>
        </w:rPr>
        <w:t>A</w:t>
      </w:r>
      <w:r w:rsidR="00134EC0" w:rsidRPr="00073E0A">
        <w:rPr>
          <w:rFonts w:eastAsia="Arial"/>
          <w:iCs/>
          <w:lang w:val="en-CA"/>
        </w:rPr>
        <w:t>.</w:t>
      </w:r>
      <w:r w:rsidR="00BC37EC" w:rsidRPr="00073E0A">
        <w:rPr>
          <w:rFonts w:eastAsia="Arial"/>
          <w:iCs/>
          <w:lang w:val="en-CA"/>
        </w:rPr>
        <w:t>)</w:t>
      </w:r>
      <w:r w:rsidR="00BC37EC" w:rsidRPr="00073E0A">
        <w:rPr>
          <w:rFonts w:eastAsia="Arial"/>
          <w:iCs/>
          <w:spacing w:val="-4"/>
          <w:lang w:val="en-CA"/>
        </w:rPr>
        <w:t xml:space="preserve"> </w:t>
      </w:r>
      <w:r w:rsidR="00BC37EC" w:rsidRPr="00BC37EC">
        <w:rPr>
          <w:rFonts w:eastAsia="Arial"/>
          <w:i/>
          <w:sz w:val="20"/>
          <w:szCs w:val="20"/>
          <w:lang w:val="fr-FR"/>
        </w:rPr>
        <w:t>(circonstances</w:t>
      </w:r>
      <w:r w:rsidR="00BC37EC" w:rsidRPr="00BC37EC">
        <w:rPr>
          <w:rFonts w:eastAsia="Arial"/>
          <w:i/>
          <w:spacing w:val="-3"/>
          <w:sz w:val="20"/>
          <w:szCs w:val="20"/>
          <w:lang w:val="fr-FR"/>
        </w:rPr>
        <w:t xml:space="preserve"> </w:t>
      </w:r>
      <w:r w:rsidR="00BC37EC" w:rsidRPr="00BC37EC">
        <w:rPr>
          <w:rFonts w:eastAsia="Arial"/>
          <w:i/>
          <w:sz w:val="20"/>
          <w:szCs w:val="20"/>
          <w:lang w:val="fr-FR"/>
        </w:rPr>
        <w:t>dans lesquelles le recours en oppression n’est pas approprié).</w:t>
      </w:r>
    </w:p>
    <w:p w14:paraId="6BC263EF" w14:textId="1720DD16" w:rsidR="00BC37EC" w:rsidRPr="00BC37EC" w:rsidRDefault="00BC37EC" w:rsidP="008C58BD">
      <w:pPr>
        <w:widowControl w:val="0"/>
        <w:tabs>
          <w:tab w:val="left" w:pos="284"/>
        </w:tabs>
        <w:autoSpaceDE w:val="0"/>
        <w:autoSpaceDN w:val="0"/>
        <w:spacing w:before="121" w:after="0" w:line="240" w:lineRule="auto"/>
        <w:ind w:left="1276"/>
        <w:rPr>
          <w:rFonts w:eastAsia="Arial"/>
          <w:i/>
          <w:lang w:val="fr-FR"/>
        </w:rPr>
      </w:pPr>
      <w:r w:rsidRPr="00BC37EC">
        <w:rPr>
          <w:rFonts w:eastAsia="Arial"/>
          <w:i/>
          <w:lang w:val="fr-FR"/>
        </w:rPr>
        <w:t>Magasins</w:t>
      </w:r>
      <w:r w:rsidRPr="00BC37EC">
        <w:rPr>
          <w:rFonts w:eastAsia="Arial"/>
          <w:i/>
          <w:spacing w:val="-2"/>
          <w:lang w:val="fr-FR"/>
        </w:rPr>
        <w:t xml:space="preserve"> </w:t>
      </w:r>
      <w:r w:rsidRPr="00BC37EC">
        <w:rPr>
          <w:rFonts w:eastAsia="Arial"/>
          <w:lang w:val="fr-FR"/>
        </w:rPr>
        <w:t>à</w:t>
      </w:r>
      <w:r w:rsidRPr="00BC37EC">
        <w:rPr>
          <w:rFonts w:eastAsia="Arial"/>
          <w:i/>
          <w:spacing w:val="-2"/>
          <w:lang w:val="fr-FR"/>
        </w:rPr>
        <w:t xml:space="preserve"> </w:t>
      </w:r>
      <w:r w:rsidRPr="00BC37EC">
        <w:rPr>
          <w:rFonts w:eastAsia="Arial"/>
          <w:i/>
          <w:lang w:val="fr-FR"/>
        </w:rPr>
        <w:t>rayons</w:t>
      </w:r>
      <w:r w:rsidRPr="00BC37EC">
        <w:rPr>
          <w:rFonts w:eastAsia="Arial"/>
          <w:i/>
          <w:spacing w:val="-2"/>
          <w:lang w:val="fr-FR"/>
        </w:rPr>
        <w:t xml:space="preserve"> </w:t>
      </w:r>
      <w:r w:rsidRPr="00BC37EC">
        <w:rPr>
          <w:rFonts w:eastAsia="Arial"/>
          <w:i/>
          <w:lang w:val="fr-FR"/>
        </w:rPr>
        <w:t>Peoples</w:t>
      </w:r>
      <w:r w:rsidRPr="00BC37EC">
        <w:rPr>
          <w:rFonts w:eastAsia="Arial"/>
          <w:i/>
          <w:spacing w:val="-2"/>
          <w:lang w:val="fr-FR"/>
        </w:rPr>
        <w:t xml:space="preserve"> </w:t>
      </w:r>
      <w:r w:rsidRPr="00BC37EC">
        <w:rPr>
          <w:rFonts w:eastAsia="Arial"/>
          <w:i/>
          <w:lang w:val="fr-FR"/>
        </w:rPr>
        <w:t>inc.</w:t>
      </w:r>
      <w:r w:rsidRPr="00BC37EC">
        <w:rPr>
          <w:rFonts w:eastAsia="Arial"/>
          <w:i/>
          <w:spacing w:val="-4"/>
          <w:lang w:val="fr-FR"/>
        </w:rPr>
        <w:t xml:space="preserve"> </w:t>
      </w:r>
      <w:r w:rsidRPr="00BC37EC">
        <w:rPr>
          <w:rFonts w:eastAsia="Arial"/>
          <w:i/>
          <w:lang w:val="fr-FR"/>
        </w:rPr>
        <w:t>(Syndic</w:t>
      </w:r>
      <w:r w:rsidRPr="00BC37EC">
        <w:rPr>
          <w:rFonts w:eastAsia="Arial"/>
          <w:i/>
          <w:spacing w:val="-2"/>
          <w:lang w:val="fr-FR"/>
        </w:rPr>
        <w:t xml:space="preserve"> </w:t>
      </w:r>
      <w:r w:rsidRPr="00BC37EC">
        <w:rPr>
          <w:rFonts w:eastAsia="Arial"/>
          <w:i/>
          <w:lang w:val="fr-FR"/>
        </w:rPr>
        <w:t>de)</w:t>
      </w:r>
      <w:r w:rsidRPr="00BC37EC">
        <w:rPr>
          <w:rFonts w:eastAsia="Arial"/>
          <w:iCs/>
          <w:spacing w:val="-2"/>
          <w:lang w:val="fr-FR"/>
        </w:rPr>
        <w:t xml:space="preserve"> </w:t>
      </w:r>
      <w:r w:rsidRPr="00BC37EC">
        <w:rPr>
          <w:rFonts w:eastAsia="Arial"/>
          <w:iCs/>
          <w:lang w:val="fr-FR"/>
        </w:rPr>
        <w:t>c.</w:t>
      </w:r>
      <w:r w:rsidRPr="00BC37EC">
        <w:rPr>
          <w:rFonts w:eastAsia="Arial"/>
          <w:iCs/>
          <w:spacing w:val="-4"/>
          <w:lang w:val="fr-FR"/>
        </w:rPr>
        <w:t xml:space="preserve"> </w:t>
      </w:r>
      <w:r w:rsidRPr="00BC37EC">
        <w:rPr>
          <w:rFonts w:eastAsia="Arial"/>
          <w:i/>
          <w:lang w:val="fr-FR"/>
        </w:rPr>
        <w:t>Wise</w:t>
      </w:r>
      <w:r w:rsidRPr="00BC37EC">
        <w:rPr>
          <w:rFonts w:eastAsia="Arial"/>
          <w:iCs/>
          <w:lang w:val="fr-FR"/>
        </w:rPr>
        <w:t>,</w:t>
      </w:r>
      <w:r w:rsidRPr="00BC37EC">
        <w:rPr>
          <w:rFonts w:eastAsia="Arial"/>
          <w:iCs/>
          <w:spacing w:val="-3"/>
          <w:lang w:val="fr-FR"/>
        </w:rPr>
        <w:t xml:space="preserve"> </w:t>
      </w:r>
      <w:hyperlink r:id="rId109" w:history="1">
        <w:r w:rsidRPr="00BC37EC">
          <w:rPr>
            <w:rStyle w:val="Lienhypertexte"/>
            <w:lang w:val="fr-FR"/>
          </w:rPr>
          <w:t>2004 CSC 68</w:t>
        </w:r>
      </w:hyperlink>
      <w:r w:rsidRPr="00BC37EC">
        <w:rPr>
          <w:rFonts w:eastAsia="Arial"/>
          <w:iCs/>
          <w:spacing w:val="-5"/>
          <w:lang w:val="fr-FR"/>
        </w:rPr>
        <w:t xml:space="preserve"> </w:t>
      </w:r>
      <w:r w:rsidR="000770A7" w:rsidRPr="000770A7">
        <w:rPr>
          <w:rFonts w:eastAsia="Arial"/>
          <w:i/>
          <w:sz w:val="20"/>
          <w:szCs w:val="20"/>
          <w:lang w:val="fr-FR"/>
        </w:rPr>
        <w:t>(</w:t>
      </w:r>
      <w:r w:rsidRPr="00BC37EC">
        <w:rPr>
          <w:rFonts w:eastAsia="Arial"/>
          <w:i/>
          <w:sz w:val="20"/>
          <w:szCs w:val="20"/>
          <w:lang w:val="fr-FR"/>
        </w:rPr>
        <w:t>règle de l’appréciation commerciale).</w:t>
      </w:r>
    </w:p>
    <w:p w14:paraId="1B80C2EF" w14:textId="77777777" w:rsidR="00BC37EC" w:rsidRPr="00BC37EC" w:rsidRDefault="00BC37EC" w:rsidP="00073E0A">
      <w:pPr>
        <w:widowControl w:val="0"/>
        <w:tabs>
          <w:tab w:val="left" w:pos="284"/>
        </w:tabs>
        <w:autoSpaceDE w:val="0"/>
        <w:autoSpaceDN w:val="0"/>
        <w:spacing w:before="121" w:after="0" w:line="240" w:lineRule="auto"/>
        <w:ind w:left="1276"/>
        <w:rPr>
          <w:rFonts w:eastAsia="Arial"/>
          <w:i/>
          <w:u w:val="single"/>
          <w:lang w:val="fr-FR"/>
        </w:rPr>
      </w:pPr>
      <w:r w:rsidRPr="00BC37EC">
        <w:rPr>
          <w:rFonts w:eastAsia="Arial"/>
          <w:i/>
          <w:lang w:val="fr-FR"/>
        </w:rPr>
        <w:t>BCE</w:t>
      </w:r>
      <w:r w:rsidRPr="00BC37EC">
        <w:rPr>
          <w:rFonts w:eastAsia="Arial"/>
          <w:i/>
          <w:spacing w:val="-5"/>
          <w:lang w:val="fr-FR"/>
        </w:rPr>
        <w:t xml:space="preserve"> </w:t>
      </w:r>
      <w:r w:rsidRPr="00BC37EC">
        <w:rPr>
          <w:rFonts w:eastAsia="Arial"/>
          <w:i/>
          <w:lang w:val="fr-FR"/>
        </w:rPr>
        <w:t>inc</w:t>
      </w:r>
      <w:r w:rsidRPr="00BC37EC">
        <w:rPr>
          <w:rFonts w:eastAsia="Arial"/>
          <w:iCs/>
          <w:lang w:val="fr-FR"/>
        </w:rPr>
        <w:t>.</w:t>
      </w:r>
      <w:r w:rsidRPr="00BC37EC">
        <w:rPr>
          <w:rFonts w:eastAsia="Arial"/>
          <w:iCs/>
          <w:spacing w:val="-2"/>
          <w:lang w:val="fr-FR"/>
        </w:rPr>
        <w:t xml:space="preserve"> </w:t>
      </w:r>
      <w:r w:rsidRPr="00BC37EC">
        <w:rPr>
          <w:rFonts w:eastAsia="Arial"/>
          <w:iCs/>
          <w:lang w:val="fr-FR"/>
        </w:rPr>
        <w:t>c.</w:t>
      </w:r>
      <w:r w:rsidRPr="00BC37EC">
        <w:rPr>
          <w:rFonts w:eastAsia="Arial"/>
          <w:iCs/>
          <w:spacing w:val="-2"/>
          <w:lang w:val="fr-FR"/>
        </w:rPr>
        <w:t xml:space="preserve"> </w:t>
      </w:r>
      <w:r w:rsidRPr="00BC37EC">
        <w:rPr>
          <w:rFonts w:eastAsia="Arial"/>
          <w:i/>
          <w:lang w:val="fr-FR"/>
        </w:rPr>
        <w:t>D</w:t>
      </w:r>
      <w:r w:rsidRPr="00BC37EC">
        <w:rPr>
          <w:rFonts w:eastAsia="Arial"/>
          <w:lang w:val="fr-FR"/>
        </w:rPr>
        <w:t>é</w:t>
      </w:r>
      <w:r w:rsidRPr="00BC37EC">
        <w:rPr>
          <w:rFonts w:eastAsia="Arial"/>
          <w:i/>
          <w:lang w:val="fr-FR"/>
        </w:rPr>
        <w:t>tenteurs</w:t>
      </w:r>
      <w:r w:rsidRPr="00BC37EC">
        <w:rPr>
          <w:rFonts w:eastAsia="Arial"/>
          <w:i/>
          <w:spacing w:val="-4"/>
          <w:lang w:val="fr-FR"/>
        </w:rPr>
        <w:t xml:space="preserve"> </w:t>
      </w:r>
      <w:r w:rsidRPr="00BC37EC">
        <w:rPr>
          <w:rFonts w:eastAsia="Arial"/>
          <w:i/>
          <w:lang w:val="fr-FR"/>
        </w:rPr>
        <w:t>de</w:t>
      </w:r>
      <w:r w:rsidRPr="00BC37EC">
        <w:rPr>
          <w:rFonts w:eastAsia="Arial"/>
          <w:i/>
          <w:spacing w:val="-3"/>
          <w:lang w:val="fr-FR"/>
        </w:rPr>
        <w:t xml:space="preserve"> </w:t>
      </w:r>
      <w:r w:rsidRPr="00BC37EC">
        <w:rPr>
          <w:rFonts w:eastAsia="Arial"/>
          <w:i/>
          <w:lang w:val="fr-FR"/>
        </w:rPr>
        <w:t>d</w:t>
      </w:r>
      <w:r w:rsidRPr="00BC37EC">
        <w:rPr>
          <w:rFonts w:eastAsia="Arial"/>
          <w:lang w:val="fr-FR"/>
        </w:rPr>
        <w:t>é</w:t>
      </w:r>
      <w:r w:rsidRPr="00BC37EC">
        <w:rPr>
          <w:rFonts w:eastAsia="Arial"/>
          <w:i/>
          <w:lang w:val="fr-FR"/>
        </w:rPr>
        <w:t>bentures</w:t>
      </w:r>
      <w:r w:rsidRPr="00BC37EC">
        <w:rPr>
          <w:rFonts w:eastAsia="Arial"/>
          <w:i/>
          <w:spacing w:val="-3"/>
          <w:lang w:val="fr-FR"/>
        </w:rPr>
        <w:t xml:space="preserve"> </w:t>
      </w:r>
      <w:r w:rsidRPr="00BC37EC">
        <w:rPr>
          <w:rFonts w:eastAsia="Arial"/>
          <w:i/>
          <w:lang w:val="fr-FR"/>
        </w:rPr>
        <w:t>de</w:t>
      </w:r>
      <w:r w:rsidRPr="00BC37EC">
        <w:rPr>
          <w:rFonts w:eastAsia="Arial"/>
          <w:i/>
          <w:spacing w:val="-6"/>
          <w:lang w:val="fr-FR"/>
        </w:rPr>
        <w:t xml:space="preserve"> </w:t>
      </w:r>
      <w:r w:rsidRPr="00BC37EC">
        <w:rPr>
          <w:rFonts w:eastAsia="Arial"/>
          <w:i/>
          <w:lang w:val="fr-FR"/>
        </w:rPr>
        <w:t>1976,</w:t>
      </w:r>
      <w:r w:rsidRPr="00BC37EC">
        <w:rPr>
          <w:rFonts w:eastAsia="Arial"/>
          <w:iCs/>
          <w:spacing w:val="-5"/>
          <w:lang w:val="fr-FR"/>
        </w:rPr>
        <w:t xml:space="preserve"> </w:t>
      </w:r>
      <w:hyperlink r:id="rId110" w:history="1">
        <w:r w:rsidRPr="00BC37EC">
          <w:rPr>
            <w:rStyle w:val="Lienhypertexte"/>
            <w:lang w:val="fr-FR"/>
          </w:rPr>
          <w:t>2008 CSC 69</w:t>
        </w:r>
      </w:hyperlink>
    </w:p>
    <w:p w14:paraId="35C30F16" w14:textId="12E415F7" w:rsidR="00BC37EC" w:rsidRPr="00BC37EC" w:rsidRDefault="00BC37EC" w:rsidP="008C58BD">
      <w:pPr>
        <w:widowControl w:val="0"/>
        <w:tabs>
          <w:tab w:val="left" w:pos="284"/>
        </w:tabs>
        <w:autoSpaceDE w:val="0"/>
        <w:autoSpaceDN w:val="0"/>
        <w:spacing w:before="121" w:after="0" w:line="360" w:lineRule="auto"/>
        <w:ind w:left="1276"/>
        <w:rPr>
          <w:rFonts w:eastAsia="Arial"/>
          <w:i/>
          <w:lang w:val="en-CA"/>
        </w:rPr>
      </w:pPr>
      <w:r w:rsidRPr="00BC37EC">
        <w:rPr>
          <w:rFonts w:eastAsia="Arial"/>
          <w:i/>
          <w:lang w:val="en-CA"/>
        </w:rPr>
        <w:t>176283</w:t>
      </w:r>
      <w:r w:rsidRPr="00BC37EC">
        <w:rPr>
          <w:rFonts w:eastAsia="Arial"/>
          <w:i/>
          <w:spacing w:val="-6"/>
          <w:lang w:val="en-CA"/>
        </w:rPr>
        <w:t xml:space="preserve"> </w:t>
      </w:r>
      <w:r w:rsidRPr="00BC37EC">
        <w:rPr>
          <w:rFonts w:eastAsia="Arial"/>
          <w:i/>
          <w:lang w:val="en-CA"/>
        </w:rPr>
        <w:t>Canada</w:t>
      </w:r>
      <w:r w:rsidRPr="00BC37EC">
        <w:rPr>
          <w:rFonts w:eastAsia="Arial"/>
          <w:i/>
          <w:spacing w:val="-4"/>
          <w:lang w:val="en-CA"/>
        </w:rPr>
        <w:t xml:space="preserve"> </w:t>
      </w:r>
      <w:r w:rsidRPr="00BC37EC">
        <w:rPr>
          <w:rFonts w:eastAsia="Arial"/>
          <w:i/>
          <w:lang w:val="en-CA"/>
        </w:rPr>
        <w:t>inc</w:t>
      </w:r>
      <w:r w:rsidRPr="00BC37EC">
        <w:rPr>
          <w:rFonts w:eastAsia="Arial"/>
          <w:iCs/>
          <w:lang w:val="en-CA"/>
        </w:rPr>
        <w:t>.</w:t>
      </w:r>
      <w:r w:rsidRPr="00BC37EC">
        <w:rPr>
          <w:rFonts w:eastAsia="Arial"/>
          <w:iCs/>
          <w:spacing w:val="-6"/>
          <w:lang w:val="en-CA"/>
        </w:rPr>
        <w:t xml:space="preserve"> </w:t>
      </w:r>
      <w:r w:rsidRPr="00BC37EC">
        <w:rPr>
          <w:rFonts w:eastAsia="Arial"/>
          <w:iCs/>
          <w:lang w:val="en-CA"/>
        </w:rPr>
        <w:t>c.</w:t>
      </w:r>
      <w:r w:rsidRPr="00BC37EC">
        <w:rPr>
          <w:rFonts w:eastAsia="Arial"/>
          <w:i/>
          <w:spacing w:val="-3"/>
          <w:lang w:val="en-CA"/>
        </w:rPr>
        <w:t xml:space="preserve"> </w:t>
      </w:r>
      <w:r w:rsidRPr="00BC37EC">
        <w:rPr>
          <w:rFonts w:eastAsia="Arial"/>
          <w:i/>
          <w:lang w:val="en-CA"/>
        </w:rPr>
        <w:t>St-Germain</w:t>
      </w:r>
      <w:r w:rsidRPr="00BC37EC">
        <w:rPr>
          <w:rFonts w:eastAsia="Arial"/>
          <w:iCs/>
          <w:lang w:val="en-CA"/>
        </w:rPr>
        <w:t>,</w:t>
      </w:r>
      <w:r w:rsidRPr="00BC37EC">
        <w:rPr>
          <w:rFonts w:eastAsia="Arial"/>
          <w:iCs/>
          <w:spacing w:val="-5"/>
          <w:lang w:val="en-CA"/>
        </w:rPr>
        <w:t xml:space="preserve"> </w:t>
      </w:r>
      <w:hyperlink r:id="rId111" w:history="1">
        <w:r w:rsidRPr="00BC37EC">
          <w:rPr>
            <w:rStyle w:val="Lienhypertexte"/>
            <w:lang w:val="en-CA"/>
          </w:rPr>
          <w:t>2011 QCCA 608</w:t>
        </w:r>
      </w:hyperlink>
      <w:r w:rsidRPr="00BC37EC">
        <w:rPr>
          <w:rFonts w:eastAsia="Arial"/>
          <w:iCs/>
          <w:spacing w:val="-4"/>
          <w:lang w:val="en-CA"/>
        </w:rPr>
        <w:t xml:space="preserve"> </w:t>
      </w:r>
      <w:r w:rsidRPr="00BC37EC">
        <w:rPr>
          <w:rFonts w:eastAsia="Arial"/>
          <w:i/>
          <w:sz w:val="20"/>
          <w:szCs w:val="20"/>
          <w:lang w:val="en-CA"/>
        </w:rPr>
        <w:t>(notion d’urgence).</w:t>
      </w:r>
    </w:p>
    <w:p w14:paraId="172684AE" w14:textId="1AFF2206" w:rsidR="00BC37EC" w:rsidRDefault="00BC37EC" w:rsidP="008C58BD">
      <w:pPr>
        <w:widowControl w:val="0"/>
        <w:tabs>
          <w:tab w:val="left" w:pos="284"/>
        </w:tabs>
        <w:autoSpaceDE w:val="0"/>
        <w:autoSpaceDN w:val="0"/>
        <w:spacing w:after="0" w:line="240" w:lineRule="auto"/>
        <w:ind w:left="1276"/>
        <w:rPr>
          <w:rFonts w:eastAsia="Arial"/>
          <w:i/>
          <w:sz w:val="20"/>
          <w:szCs w:val="20"/>
        </w:rPr>
      </w:pPr>
      <w:r w:rsidRPr="00BC37EC">
        <w:rPr>
          <w:rFonts w:eastAsia="Arial"/>
          <w:i/>
          <w:lang w:val="fr-FR"/>
        </w:rPr>
        <w:t>Sawyer</w:t>
      </w:r>
      <w:r w:rsidRPr="00BC37EC">
        <w:rPr>
          <w:rFonts w:eastAsia="Arial"/>
          <w:iCs/>
          <w:spacing w:val="-5"/>
          <w:lang w:val="fr-FR"/>
        </w:rPr>
        <w:t xml:space="preserve"> </w:t>
      </w:r>
      <w:r w:rsidRPr="00BC37EC">
        <w:rPr>
          <w:rFonts w:eastAsia="Arial"/>
          <w:iCs/>
          <w:lang w:val="fr-FR"/>
        </w:rPr>
        <w:t>c.</w:t>
      </w:r>
      <w:r w:rsidRPr="00BC37EC">
        <w:rPr>
          <w:rFonts w:eastAsia="Arial"/>
          <w:iCs/>
          <w:spacing w:val="-2"/>
          <w:lang w:val="fr-FR"/>
        </w:rPr>
        <w:t xml:space="preserve"> </w:t>
      </w:r>
      <w:r w:rsidRPr="00BC37EC">
        <w:rPr>
          <w:rFonts w:eastAsia="Arial"/>
          <w:i/>
          <w:lang w:val="fr-FR"/>
        </w:rPr>
        <w:t>S.</w:t>
      </w:r>
      <w:r w:rsidRPr="00BC37EC">
        <w:rPr>
          <w:rFonts w:eastAsia="Arial"/>
          <w:i/>
          <w:spacing w:val="-4"/>
          <w:lang w:val="fr-FR"/>
        </w:rPr>
        <w:t xml:space="preserve"> </w:t>
      </w:r>
      <w:r w:rsidRPr="00BC37EC">
        <w:rPr>
          <w:rFonts w:eastAsia="Arial"/>
          <w:i/>
          <w:lang w:val="fr-FR"/>
        </w:rPr>
        <w:t>Teller</w:t>
      </w:r>
      <w:r w:rsidRPr="00BC37EC">
        <w:rPr>
          <w:rFonts w:eastAsia="Arial"/>
          <w:i/>
          <w:spacing w:val="-2"/>
          <w:lang w:val="fr-FR"/>
        </w:rPr>
        <w:t xml:space="preserve"> </w:t>
      </w:r>
      <w:r w:rsidRPr="00BC37EC">
        <w:rPr>
          <w:rFonts w:eastAsia="Arial"/>
          <w:i/>
          <w:lang w:val="fr-FR"/>
        </w:rPr>
        <w:t>ltée</w:t>
      </w:r>
      <w:r w:rsidRPr="00BC37EC">
        <w:rPr>
          <w:rFonts w:eastAsia="Arial"/>
          <w:iCs/>
          <w:lang w:val="fr-FR"/>
        </w:rPr>
        <w:t>,</w:t>
      </w:r>
      <w:r w:rsidRPr="00BC37EC">
        <w:rPr>
          <w:rFonts w:eastAsia="Arial"/>
          <w:iCs/>
          <w:spacing w:val="-6"/>
          <w:lang w:val="fr-FR"/>
        </w:rPr>
        <w:t xml:space="preserve"> </w:t>
      </w:r>
      <w:hyperlink r:id="rId112" w:history="1">
        <w:r w:rsidRPr="00BC37EC">
          <w:rPr>
            <w:rStyle w:val="Lienhypertexte"/>
          </w:rPr>
          <w:t>2011 QCCA 2389</w:t>
        </w:r>
      </w:hyperlink>
      <w:r w:rsidRPr="00BC37EC">
        <w:rPr>
          <w:rFonts w:eastAsia="Arial"/>
          <w:iCs/>
          <w:spacing w:val="-6"/>
          <w:lang w:val="fr-FR"/>
        </w:rPr>
        <w:t xml:space="preserve"> </w:t>
      </w:r>
      <w:r w:rsidR="000770A7" w:rsidRPr="00A951C0">
        <w:rPr>
          <w:rFonts w:eastAsia="Arial"/>
          <w:i/>
          <w:sz w:val="20"/>
          <w:szCs w:val="20"/>
          <w:lang w:val="fr-FR"/>
        </w:rPr>
        <w:t>(or</w:t>
      </w:r>
      <w:r w:rsidRPr="00BC37EC">
        <w:rPr>
          <w:rFonts w:eastAsia="Arial"/>
          <w:i/>
          <w:sz w:val="20"/>
          <w:szCs w:val="20"/>
          <w:lang w:val="fr-FR"/>
        </w:rPr>
        <w:t>donnances intérimaires</w:t>
      </w:r>
      <w:r w:rsidRPr="00BC37EC">
        <w:rPr>
          <w:rFonts w:eastAsia="Arial"/>
          <w:i/>
          <w:sz w:val="20"/>
          <w:szCs w:val="20"/>
        </w:rPr>
        <w:t xml:space="preserve"> ne doivent pas court-circuiter le jugement au fond).</w:t>
      </w:r>
    </w:p>
    <w:p w14:paraId="48C8EFAF" w14:textId="77777777" w:rsidR="008C58BD" w:rsidRPr="00BC37EC" w:rsidRDefault="008C58BD" w:rsidP="008C58BD">
      <w:pPr>
        <w:widowControl w:val="0"/>
        <w:tabs>
          <w:tab w:val="left" w:pos="284"/>
        </w:tabs>
        <w:autoSpaceDE w:val="0"/>
        <w:autoSpaceDN w:val="0"/>
        <w:spacing w:after="0" w:line="240" w:lineRule="auto"/>
        <w:ind w:left="1276"/>
        <w:rPr>
          <w:rFonts w:eastAsia="Arial"/>
          <w:i/>
          <w:lang w:val="fr-FR"/>
        </w:rPr>
      </w:pPr>
    </w:p>
    <w:p w14:paraId="3BBCB7D7" w14:textId="4235DD20" w:rsidR="00BC37EC" w:rsidRPr="00BC37EC" w:rsidRDefault="00BC37EC" w:rsidP="008C58BD">
      <w:pPr>
        <w:widowControl w:val="0"/>
        <w:tabs>
          <w:tab w:val="left" w:pos="284"/>
        </w:tabs>
        <w:autoSpaceDE w:val="0"/>
        <w:autoSpaceDN w:val="0"/>
        <w:spacing w:after="0" w:line="240" w:lineRule="auto"/>
        <w:ind w:left="1276"/>
        <w:rPr>
          <w:rFonts w:eastAsia="Arial"/>
          <w:i/>
          <w:sz w:val="20"/>
          <w:szCs w:val="20"/>
          <w:lang w:val="fr-FR"/>
        </w:rPr>
      </w:pPr>
      <w:r w:rsidRPr="00BC37EC">
        <w:rPr>
          <w:rFonts w:eastAsia="Arial"/>
          <w:noProof/>
          <w:lang w:val="fr-FR"/>
        </w:rPr>
        <mc:AlternateContent>
          <mc:Choice Requires="wps">
            <w:drawing>
              <wp:anchor distT="0" distB="0" distL="114300" distR="114300" simplePos="0" relativeHeight="251663360" behindDoc="1" locked="0" layoutInCell="1" allowOverlap="1" wp14:anchorId="556A6FB9" wp14:editId="51F12A10">
                <wp:simplePos x="0" y="0"/>
                <wp:positionH relativeFrom="page">
                  <wp:posOffset>6149340</wp:posOffset>
                </wp:positionH>
                <wp:positionV relativeFrom="paragraph">
                  <wp:posOffset>226695</wp:posOffset>
                </wp:positionV>
                <wp:extent cx="39370" cy="10795"/>
                <wp:effectExtent l="0" t="4445" r="254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0D41" id="Rectangle 20" o:spid="_x0000_s1026" style="position:absolute;margin-left:484.2pt;margin-top:17.85pt;width:3.1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" fillcolor="blue" stroked="f">
                <w10:wrap anchorx="page"/>
              </v:rect>
            </w:pict>
          </mc:Fallback>
        </mc:AlternateContent>
      </w:r>
      <w:r w:rsidRPr="00BC37EC">
        <w:rPr>
          <w:rFonts w:eastAsia="Arial"/>
          <w:noProof/>
          <w:lang w:val="fr-FR"/>
        </w:rPr>
        <mc:AlternateContent>
          <mc:Choice Requires="wps">
            <w:drawing>
              <wp:anchor distT="0" distB="0" distL="114300" distR="114300" simplePos="0" relativeHeight="251664384" behindDoc="1" locked="0" layoutInCell="1" allowOverlap="1" wp14:anchorId="6F4CEFB6" wp14:editId="138DA695">
                <wp:simplePos x="0" y="0"/>
                <wp:positionH relativeFrom="page">
                  <wp:posOffset>6568440</wp:posOffset>
                </wp:positionH>
                <wp:positionV relativeFrom="paragraph">
                  <wp:posOffset>226695</wp:posOffset>
                </wp:positionV>
                <wp:extent cx="38100" cy="10795"/>
                <wp:effectExtent l="0" t="4445" r="3810"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B515" id="Rectangle 19" o:spid="_x0000_s1026" style="position:absolute;margin-left:517.2pt;margin-top:17.85pt;width:3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4u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" fillcolor="blue" stroked="f">
                <w10:wrap anchorx="page"/>
              </v:rect>
            </w:pict>
          </mc:Fallback>
        </mc:AlternateContent>
      </w:r>
      <w:r w:rsidRPr="00BC37EC">
        <w:rPr>
          <w:rFonts w:eastAsia="Arial"/>
          <w:i/>
          <w:lang w:val="fr-FR"/>
        </w:rPr>
        <w:t>Garage</w:t>
      </w:r>
      <w:r w:rsidRPr="00BC37EC">
        <w:rPr>
          <w:rFonts w:eastAsia="Arial"/>
          <w:i/>
          <w:spacing w:val="-4"/>
          <w:lang w:val="fr-FR"/>
        </w:rPr>
        <w:t xml:space="preserve"> </w:t>
      </w:r>
      <w:r w:rsidRPr="00BC37EC">
        <w:rPr>
          <w:rFonts w:eastAsia="Arial"/>
          <w:i/>
          <w:lang w:val="fr-FR"/>
        </w:rPr>
        <w:t>Technology</w:t>
      </w:r>
      <w:r w:rsidRPr="00BC37EC">
        <w:rPr>
          <w:rFonts w:eastAsia="Arial"/>
          <w:i/>
          <w:spacing w:val="-4"/>
          <w:lang w:val="fr-FR"/>
        </w:rPr>
        <w:t xml:space="preserve"> </w:t>
      </w:r>
      <w:r w:rsidRPr="00BC37EC">
        <w:rPr>
          <w:rFonts w:eastAsia="Arial"/>
          <w:i/>
          <w:lang w:val="fr-FR"/>
        </w:rPr>
        <w:t>Ventures</w:t>
      </w:r>
      <w:r w:rsidRPr="00BC37EC">
        <w:rPr>
          <w:rFonts w:eastAsia="Arial"/>
          <w:i/>
          <w:spacing w:val="-4"/>
          <w:lang w:val="fr-FR"/>
        </w:rPr>
        <w:t xml:space="preserve"> </w:t>
      </w:r>
      <w:r w:rsidRPr="00BC37EC">
        <w:rPr>
          <w:rFonts w:eastAsia="Arial"/>
          <w:i/>
          <w:lang w:val="fr-FR"/>
        </w:rPr>
        <w:t>Canada,</w:t>
      </w:r>
      <w:r w:rsidRPr="00BC37EC">
        <w:rPr>
          <w:rFonts w:eastAsia="Arial"/>
          <w:i/>
          <w:spacing w:val="-3"/>
          <w:lang w:val="fr-FR"/>
        </w:rPr>
        <w:t xml:space="preserve"> </w:t>
      </w:r>
      <w:r w:rsidRPr="00BC37EC">
        <w:rPr>
          <w:rFonts w:eastAsia="Arial"/>
          <w:i/>
          <w:lang w:val="fr-FR"/>
        </w:rPr>
        <w:t>s.e.c.</w:t>
      </w:r>
      <w:r w:rsidRPr="00BC37EC">
        <w:rPr>
          <w:rFonts w:eastAsia="Arial"/>
          <w:i/>
          <w:spacing w:val="-5"/>
          <w:lang w:val="fr-FR"/>
        </w:rPr>
        <w:t xml:space="preserve"> </w:t>
      </w:r>
      <w:r w:rsidRPr="00BC37EC">
        <w:rPr>
          <w:rFonts w:eastAsia="Arial"/>
          <w:i/>
          <w:lang w:val="fr-FR"/>
        </w:rPr>
        <w:t>(Capital</w:t>
      </w:r>
      <w:r w:rsidRPr="00BC37EC">
        <w:rPr>
          <w:rFonts w:eastAsia="Arial"/>
          <w:i/>
          <w:spacing w:val="-5"/>
          <w:lang w:val="fr-FR"/>
        </w:rPr>
        <w:t xml:space="preserve"> </w:t>
      </w:r>
      <w:r w:rsidRPr="00BC37EC">
        <w:rPr>
          <w:rFonts w:eastAsia="Arial"/>
          <w:i/>
          <w:lang w:val="fr-FR"/>
        </w:rPr>
        <w:t>Saint-Laurent</w:t>
      </w:r>
      <w:r w:rsidRPr="00BC37EC">
        <w:rPr>
          <w:rFonts w:eastAsia="Arial"/>
          <w:i/>
          <w:spacing w:val="-3"/>
          <w:lang w:val="fr-FR"/>
        </w:rPr>
        <w:t xml:space="preserve"> </w:t>
      </w:r>
      <w:r w:rsidRPr="00BC37EC">
        <w:rPr>
          <w:rFonts w:eastAsia="Arial"/>
          <w:i/>
          <w:lang w:val="fr-FR"/>
        </w:rPr>
        <w:t>s.e.c.)</w:t>
      </w:r>
      <w:r w:rsidRPr="00BC37EC">
        <w:rPr>
          <w:rFonts w:eastAsia="Arial"/>
          <w:iCs/>
          <w:lang w:val="fr-FR"/>
        </w:rPr>
        <w:t xml:space="preserve"> c. </w:t>
      </w:r>
      <w:r w:rsidRPr="00BC37EC">
        <w:rPr>
          <w:rFonts w:eastAsia="Arial"/>
          <w:i/>
          <w:lang w:val="fr-FR"/>
        </w:rPr>
        <w:t>Léger,</w:t>
      </w:r>
      <w:r w:rsidR="000770A7">
        <w:rPr>
          <w:rFonts w:eastAsia="Arial"/>
          <w:i/>
          <w:lang w:val="fr-FR"/>
        </w:rPr>
        <w:t xml:space="preserve"> </w:t>
      </w:r>
      <w:hyperlink r:id="rId113" w:history="1">
        <w:r w:rsidRPr="00BC37EC">
          <w:rPr>
            <w:rStyle w:val="Lienhypertexte"/>
          </w:rPr>
          <w:t>2012 QCCA 1901</w:t>
        </w:r>
      </w:hyperlink>
      <w:r w:rsidR="000770A7">
        <w:rPr>
          <w:rFonts w:eastAsia="Arial"/>
          <w:iCs/>
          <w:lang w:val="fr-FR"/>
        </w:rPr>
        <w:t xml:space="preserve"> </w:t>
      </w:r>
      <w:r w:rsidRPr="00BC37EC">
        <w:rPr>
          <w:rFonts w:eastAsia="Arial"/>
          <w:i/>
          <w:sz w:val="20"/>
          <w:szCs w:val="20"/>
          <w:lang w:val="fr-FR"/>
        </w:rPr>
        <w:t>(disponibilité du recours au titulaire d’une option d’achat d’actions).</w:t>
      </w:r>
    </w:p>
    <w:p w14:paraId="51E58886" w14:textId="33260453" w:rsidR="00BC37EC" w:rsidRPr="00BC37EC" w:rsidRDefault="0074466F" w:rsidP="008C58BD">
      <w:pPr>
        <w:widowControl w:val="0"/>
        <w:tabs>
          <w:tab w:val="left" w:pos="284"/>
        </w:tabs>
        <w:autoSpaceDE w:val="0"/>
        <w:autoSpaceDN w:val="0"/>
        <w:spacing w:before="121" w:after="0" w:line="240" w:lineRule="auto"/>
        <w:ind w:left="1276"/>
        <w:rPr>
          <w:rFonts w:eastAsia="Arial"/>
          <w:i/>
          <w:lang w:val="fr-FR"/>
        </w:rPr>
      </w:pPr>
      <w:hyperlink r:id="rId114">
        <w:r w:rsidR="00BC37EC" w:rsidRPr="00BC37EC">
          <w:rPr>
            <w:rFonts w:eastAsia="Arial"/>
            <w:i/>
            <w:lang w:val="fr-FR"/>
          </w:rPr>
          <w:t>Richthofen</w:t>
        </w:r>
        <w:r w:rsidR="00BC37EC" w:rsidRPr="00BC37EC">
          <w:rPr>
            <w:rFonts w:eastAsia="Arial"/>
            <w:i/>
            <w:spacing w:val="-3"/>
            <w:lang w:val="fr-FR"/>
          </w:rPr>
          <w:t xml:space="preserve"> </w:t>
        </w:r>
        <w:r w:rsidR="00BC37EC" w:rsidRPr="00BC37EC">
          <w:rPr>
            <w:rFonts w:eastAsia="Arial"/>
            <w:i/>
            <w:lang w:val="fr-FR"/>
          </w:rPr>
          <w:t>Management</w:t>
        </w:r>
        <w:r w:rsidR="00BC37EC" w:rsidRPr="00BC37EC">
          <w:rPr>
            <w:rFonts w:eastAsia="Arial"/>
            <w:i/>
            <w:spacing w:val="-4"/>
            <w:lang w:val="fr-FR"/>
          </w:rPr>
          <w:t xml:space="preserve"> </w:t>
        </w:r>
        <w:r w:rsidR="00BC37EC" w:rsidRPr="00BC37EC">
          <w:rPr>
            <w:rFonts w:eastAsia="Arial"/>
            <w:i/>
            <w:lang w:val="fr-FR"/>
          </w:rPr>
          <w:t>inc</w:t>
        </w:r>
        <w:r w:rsidR="00BC37EC" w:rsidRPr="00BC37EC">
          <w:rPr>
            <w:rFonts w:eastAsia="Arial"/>
            <w:iCs/>
            <w:lang w:val="fr-FR"/>
          </w:rPr>
          <w:t>.</w:t>
        </w:r>
        <w:r w:rsidR="00BC37EC" w:rsidRPr="00BC37EC">
          <w:rPr>
            <w:rFonts w:eastAsia="Arial"/>
            <w:iCs/>
            <w:spacing w:val="-5"/>
            <w:lang w:val="fr-FR"/>
          </w:rPr>
          <w:t xml:space="preserve"> </w:t>
        </w:r>
        <w:r w:rsidR="00BC37EC" w:rsidRPr="00BC37EC">
          <w:rPr>
            <w:rFonts w:eastAsia="Arial"/>
            <w:iCs/>
            <w:lang w:val="fr-FR"/>
          </w:rPr>
          <w:t>c.</w:t>
        </w:r>
        <w:r w:rsidR="00BC37EC" w:rsidRPr="00BC37EC">
          <w:rPr>
            <w:rFonts w:eastAsia="Arial"/>
            <w:iCs/>
            <w:spacing w:val="-5"/>
            <w:lang w:val="fr-FR"/>
          </w:rPr>
          <w:t xml:space="preserve"> </w:t>
        </w:r>
        <w:r w:rsidR="00BC37EC" w:rsidRPr="00BC37EC">
          <w:rPr>
            <w:rFonts w:eastAsia="Arial"/>
            <w:i/>
            <w:lang w:val="fr-FR"/>
          </w:rPr>
          <w:t>Global</w:t>
        </w:r>
        <w:r w:rsidR="00BC37EC" w:rsidRPr="00BC37EC">
          <w:rPr>
            <w:rFonts w:eastAsia="Arial"/>
            <w:i/>
            <w:spacing w:val="-4"/>
            <w:lang w:val="fr-FR"/>
          </w:rPr>
          <w:t xml:space="preserve"> </w:t>
        </w:r>
        <w:r w:rsidR="00BC37EC" w:rsidRPr="00BC37EC">
          <w:rPr>
            <w:rFonts w:eastAsia="Arial"/>
            <w:i/>
            <w:lang w:val="fr-FR"/>
          </w:rPr>
          <w:t>Aviation</w:t>
        </w:r>
        <w:r w:rsidR="00BC37EC" w:rsidRPr="00BC37EC">
          <w:rPr>
            <w:rFonts w:eastAsia="Arial"/>
            <w:i/>
            <w:spacing w:val="-6"/>
            <w:lang w:val="fr-FR"/>
          </w:rPr>
          <w:t xml:space="preserve"> </w:t>
        </w:r>
        <w:r w:rsidR="00BC37EC" w:rsidRPr="00BC37EC">
          <w:rPr>
            <w:rFonts w:eastAsia="Arial"/>
            <w:i/>
            <w:lang w:val="fr-FR"/>
          </w:rPr>
          <w:t>Concept</w:t>
        </w:r>
      </w:hyperlink>
      <w:r w:rsidR="00BC37EC" w:rsidRPr="00BC37EC">
        <w:rPr>
          <w:rFonts w:eastAsia="Arial"/>
          <w:lang w:val="fr-FR"/>
        </w:rPr>
        <w:t>,</w:t>
      </w:r>
      <w:r w:rsidR="00BC37EC" w:rsidRPr="00BC37EC">
        <w:rPr>
          <w:rFonts w:eastAsia="Arial"/>
          <w:spacing w:val="-4"/>
          <w:lang w:val="fr-FR"/>
        </w:rPr>
        <w:t xml:space="preserve"> </w:t>
      </w:r>
      <w:hyperlink r:id="rId115" w:history="1">
        <w:r w:rsidR="00BC37EC" w:rsidRPr="00BC37EC">
          <w:rPr>
            <w:rStyle w:val="Lienhypertexte"/>
          </w:rPr>
          <w:t>2014 QCCA 1103</w:t>
        </w:r>
      </w:hyperlink>
      <w:r w:rsidR="00A951C0">
        <w:rPr>
          <w:rFonts w:eastAsia="Arial"/>
          <w:lang w:val="fr-FR"/>
        </w:rPr>
        <w:t xml:space="preserve"> </w:t>
      </w:r>
      <w:r w:rsidR="00BC37EC" w:rsidRPr="00BC37EC">
        <w:rPr>
          <w:rFonts w:eastAsia="Arial"/>
          <w:i/>
          <w:iCs/>
          <w:sz w:val="20"/>
          <w:szCs w:val="20"/>
          <w:lang w:val="fr-FR"/>
        </w:rPr>
        <w:t>(ordonnances discrétionnaires en matière d’oppression).</w:t>
      </w:r>
    </w:p>
    <w:p w14:paraId="6DB35937" w14:textId="458B98B3" w:rsidR="00BC37EC" w:rsidRPr="00BC37EC" w:rsidRDefault="00BC37EC" w:rsidP="008C58BD">
      <w:pPr>
        <w:widowControl w:val="0"/>
        <w:tabs>
          <w:tab w:val="left" w:pos="284"/>
        </w:tabs>
        <w:autoSpaceDE w:val="0"/>
        <w:autoSpaceDN w:val="0"/>
        <w:spacing w:before="121" w:after="0" w:line="240" w:lineRule="auto"/>
        <w:ind w:left="1276"/>
        <w:rPr>
          <w:rFonts w:eastAsia="Arial"/>
          <w:i/>
          <w:lang w:val="fr-FR"/>
        </w:rPr>
      </w:pPr>
      <w:r w:rsidRPr="00BC37EC">
        <w:rPr>
          <w:rFonts w:eastAsia="Arial"/>
          <w:i/>
          <w:lang w:val="fr-FR"/>
        </w:rPr>
        <w:t>Trackcom</w:t>
      </w:r>
      <w:r w:rsidRPr="00BC37EC">
        <w:rPr>
          <w:rFonts w:eastAsia="Arial"/>
          <w:i/>
          <w:spacing w:val="-4"/>
          <w:lang w:val="fr-FR"/>
        </w:rPr>
        <w:t xml:space="preserve"> </w:t>
      </w:r>
      <w:r w:rsidRPr="00BC37EC">
        <w:rPr>
          <w:rFonts w:eastAsia="Arial"/>
          <w:i/>
          <w:lang w:val="fr-FR"/>
        </w:rPr>
        <w:t>Systems</w:t>
      </w:r>
      <w:r w:rsidRPr="00BC37EC">
        <w:rPr>
          <w:rFonts w:eastAsia="Arial"/>
          <w:i/>
          <w:spacing w:val="-5"/>
          <w:lang w:val="fr-FR"/>
        </w:rPr>
        <w:t xml:space="preserve"> </w:t>
      </w:r>
      <w:r w:rsidRPr="00BC37EC">
        <w:rPr>
          <w:rFonts w:eastAsia="Arial"/>
          <w:i/>
          <w:lang w:val="fr-FR"/>
        </w:rPr>
        <w:t>International</w:t>
      </w:r>
      <w:r w:rsidRPr="00BC37EC">
        <w:rPr>
          <w:rFonts w:eastAsia="Arial"/>
          <w:i/>
          <w:spacing w:val="-4"/>
          <w:lang w:val="fr-FR"/>
        </w:rPr>
        <w:t xml:space="preserve"> </w:t>
      </w:r>
      <w:r w:rsidRPr="00BC37EC">
        <w:rPr>
          <w:rFonts w:eastAsia="Arial"/>
          <w:i/>
          <w:lang w:val="fr-FR"/>
        </w:rPr>
        <w:t>inc.</w:t>
      </w:r>
      <w:r w:rsidRPr="00BC37EC">
        <w:rPr>
          <w:rFonts w:eastAsia="Arial"/>
          <w:spacing w:val="-2"/>
          <w:lang w:val="fr-FR"/>
        </w:rPr>
        <w:t xml:space="preserve"> </w:t>
      </w:r>
      <w:r w:rsidRPr="00BC37EC">
        <w:rPr>
          <w:rFonts w:eastAsia="Arial"/>
          <w:lang w:val="fr-FR"/>
        </w:rPr>
        <w:t>c.</w:t>
      </w:r>
      <w:r w:rsidRPr="00BC37EC">
        <w:rPr>
          <w:rFonts w:eastAsia="Arial"/>
          <w:spacing w:val="-2"/>
          <w:lang w:val="fr-FR"/>
        </w:rPr>
        <w:t xml:space="preserve"> </w:t>
      </w:r>
      <w:r w:rsidRPr="00BC37EC">
        <w:rPr>
          <w:rFonts w:eastAsia="Arial"/>
          <w:i/>
          <w:lang w:val="fr-FR"/>
        </w:rPr>
        <w:t>Trackcom</w:t>
      </w:r>
      <w:r w:rsidRPr="00BC37EC">
        <w:rPr>
          <w:rFonts w:eastAsia="Arial"/>
          <w:i/>
          <w:spacing w:val="-5"/>
          <w:lang w:val="fr-FR"/>
        </w:rPr>
        <w:t xml:space="preserve"> </w:t>
      </w:r>
      <w:r w:rsidRPr="00BC37EC">
        <w:rPr>
          <w:rFonts w:eastAsia="Arial"/>
          <w:i/>
          <w:lang w:val="fr-FR"/>
        </w:rPr>
        <w:t>Systems</w:t>
      </w:r>
      <w:r w:rsidRPr="00BC37EC">
        <w:rPr>
          <w:rFonts w:eastAsia="Arial"/>
          <w:i/>
          <w:spacing w:val="-6"/>
          <w:lang w:val="fr-FR"/>
        </w:rPr>
        <w:t xml:space="preserve"> </w:t>
      </w:r>
      <w:r w:rsidRPr="00BC37EC">
        <w:rPr>
          <w:rFonts w:eastAsia="Arial"/>
          <w:i/>
          <w:lang w:val="fr-FR"/>
        </w:rPr>
        <w:t>inc.</w:t>
      </w:r>
      <w:r w:rsidRPr="00BC37EC">
        <w:rPr>
          <w:rFonts w:eastAsia="Arial"/>
          <w:lang w:val="fr-FR"/>
        </w:rPr>
        <w:t>,</w:t>
      </w:r>
      <w:r w:rsidRPr="00BC37EC">
        <w:rPr>
          <w:rFonts w:eastAsia="Arial"/>
          <w:spacing w:val="-4"/>
          <w:lang w:val="fr-FR"/>
        </w:rPr>
        <w:t xml:space="preserve"> </w:t>
      </w:r>
      <w:hyperlink r:id="rId116" w:history="1">
        <w:r w:rsidRPr="00BC37EC">
          <w:rPr>
            <w:rStyle w:val="Lienhypertexte"/>
          </w:rPr>
          <w:t>2014 QCCA 1136</w:t>
        </w:r>
      </w:hyperlink>
      <w:r w:rsidR="00A951C0" w:rsidRPr="00A951C0">
        <w:rPr>
          <w:rStyle w:val="Lienhypertexte"/>
          <w:u w:val="none"/>
        </w:rPr>
        <w:t xml:space="preserve"> </w:t>
      </w:r>
      <w:r w:rsidRPr="00BC37EC">
        <w:rPr>
          <w:rFonts w:eastAsia="Arial"/>
          <w:i/>
          <w:iCs/>
          <w:sz w:val="20"/>
          <w:szCs w:val="20"/>
          <w:lang w:val="fr-FR"/>
        </w:rPr>
        <w:t>(pouvoirs d’enquête qui constituent une mesure exceptionnelle).</w:t>
      </w:r>
    </w:p>
    <w:p w14:paraId="14727956" w14:textId="7F986477" w:rsidR="00BC37EC" w:rsidRPr="00BC37EC" w:rsidRDefault="00BC37EC" w:rsidP="008C58BD">
      <w:pPr>
        <w:widowControl w:val="0"/>
        <w:tabs>
          <w:tab w:val="left" w:pos="284"/>
        </w:tabs>
        <w:autoSpaceDE w:val="0"/>
        <w:autoSpaceDN w:val="0"/>
        <w:spacing w:before="121" w:after="0" w:line="240" w:lineRule="auto"/>
        <w:ind w:left="1276"/>
        <w:rPr>
          <w:rFonts w:eastAsia="Arial"/>
          <w:i/>
          <w:lang w:val="fr-FR"/>
        </w:rPr>
      </w:pPr>
      <w:r w:rsidRPr="00BC37EC">
        <w:rPr>
          <w:rFonts w:eastAsia="Arial"/>
          <w:i/>
          <w:iCs/>
          <w:lang w:val="fr-FR"/>
        </w:rPr>
        <w:t>Charland</w:t>
      </w:r>
      <w:r w:rsidRPr="00BC37EC">
        <w:rPr>
          <w:rFonts w:eastAsia="Arial"/>
          <w:lang w:val="fr-FR"/>
        </w:rPr>
        <w:t xml:space="preserve"> c. </w:t>
      </w:r>
      <w:r w:rsidRPr="00BC37EC">
        <w:rPr>
          <w:rFonts w:eastAsia="Arial"/>
          <w:i/>
          <w:iCs/>
          <w:lang w:val="fr-FR"/>
        </w:rPr>
        <w:t>Lessard</w:t>
      </w:r>
      <w:r w:rsidRPr="00BC37EC">
        <w:rPr>
          <w:rFonts w:eastAsia="Arial"/>
          <w:lang w:val="fr-FR"/>
        </w:rPr>
        <w:t>,</w:t>
      </w:r>
      <w:r w:rsidRPr="00BC37EC">
        <w:rPr>
          <w:rFonts w:eastAsia="Arial"/>
          <w:spacing w:val="-4"/>
          <w:lang w:val="fr-FR"/>
        </w:rPr>
        <w:t xml:space="preserve"> </w:t>
      </w:r>
      <w:hyperlink r:id="rId117" w:history="1">
        <w:r w:rsidRPr="00BC37EC">
          <w:rPr>
            <w:rStyle w:val="Lienhypertexte"/>
          </w:rPr>
          <w:t>2015 QCCA 14</w:t>
        </w:r>
      </w:hyperlink>
      <w:r w:rsidRPr="00BC37EC">
        <w:rPr>
          <w:rFonts w:eastAsia="Arial"/>
          <w:spacing w:val="-6"/>
          <w:lang w:val="fr-FR"/>
        </w:rPr>
        <w:t xml:space="preserve"> </w:t>
      </w:r>
      <w:r w:rsidRPr="00BC37EC">
        <w:rPr>
          <w:rFonts w:eastAsia="Arial"/>
          <w:i/>
          <w:iCs/>
          <w:sz w:val="20"/>
          <w:szCs w:val="20"/>
          <w:lang w:val="fr-FR"/>
        </w:rPr>
        <w:t>(proportionnalité</w:t>
      </w:r>
      <w:r w:rsidRPr="00BC37EC">
        <w:rPr>
          <w:rFonts w:eastAsia="Arial"/>
          <w:i/>
          <w:iCs/>
          <w:spacing w:val="-3"/>
          <w:sz w:val="20"/>
          <w:szCs w:val="20"/>
          <w:lang w:val="fr-FR"/>
        </w:rPr>
        <w:t xml:space="preserve"> </w:t>
      </w:r>
      <w:r w:rsidRPr="00BC37EC">
        <w:rPr>
          <w:rFonts w:eastAsia="Arial"/>
          <w:i/>
          <w:iCs/>
          <w:sz w:val="20"/>
          <w:szCs w:val="20"/>
          <w:lang w:val="fr-FR"/>
        </w:rPr>
        <w:t>en</w:t>
      </w:r>
      <w:r w:rsidRPr="00BC37EC">
        <w:rPr>
          <w:rFonts w:eastAsia="Arial"/>
          <w:i/>
          <w:iCs/>
          <w:spacing w:val="-6"/>
          <w:sz w:val="20"/>
          <w:szCs w:val="20"/>
          <w:lang w:val="fr-FR"/>
        </w:rPr>
        <w:t xml:space="preserve"> </w:t>
      </w:r>
      <w:r w:rsidRPr="00BC37EC">
        <w:rPr>
          <w:rFonts w:eastAsia="Arial"/>
          <w:i/>
          <w:iCs/>
          <w:sz w:val="20"/>
          <w:szCs w:val="20"/>
          <w:lang w:val="fr-FR"/>
        </w:rPr>
        <w:t>contexte</w:t>
      </w:r>
      <w:r w:rsidRPr="00BC37EC">
        <w:rPr>
          <w:rFonts w:eastAsia="Arial"/>
          <w:i/>
          <w:iCs/>
          <w:spacing w:val="-3"/>
          <w:sz w:val="20"/>
          <w:szCs w:val="20"/>
          <w:lang w:val="fr-FR"/>
        </w:rPr>
        <w:t xml:space="preserve"> </w:t>
      </w:r>
      <w:r w:rsidRPr="00BC37EC">
        <w:rPr>
          <w:rFonts w:eastAsia="Arial"/>
          <w:i/>
          <w:iCs/>
          <w:sz w:val="20"/>
          <w:szCs w:val="20"/>
          <w:lang w:val="fr-FR"/>
        </w:rPr>
        <w:t>de recours en oppression)</w:t>
      </w:r>
    </w:p>
    <w:p w14:paraId="78718D54" w14:textId="77777777" w:rsidR="00BC37EC" w:rsidRPr="005977BA" w:rsidRDefault="00BC37EC" w:rsidP="008C58BD">
      <w:pPr>
        <w:widowControl w:val="0"/>
        <w:tabs>
          <w:tab w:val="left" w:pos="284"/>
        </w:tabs>
        <w:autoSpaceDE w:val="0"/>
        <w:autoSpaceDN w:val="0"/>
        <w:spacing w:before="121" w:after="0" w:line="360" w:lineRule="auto"/>
        <w:ind w:left="1276"/>
        <w:rPr>
          <w:rFonts w:eastAsia="Arial"/>
          <w:i/>
          <w:lang w:val="en-CA"/>
        </w:rPr>
      </w:pPr>
      <w:r w:rsidRPr="00BC37EC">
        <w:rPr>
          <w:rFonts w:eastAsia="Arial"/>
          <w:i/>
          <w:iCs/>
          <w:lang w:val="en-CA"/>
        </w:rPr>
        <w:lastRenderedPageBreak/>
        <w:t>Mennillo</w:t>
      </w:r>
      <w:r w:rsidRPr="00BC37EC">
        <w:rPr>
          <w:rFonts w:eastAsia="Arial"/>
          <w:lang w:val="en-CA"/>
        </w:rPr>
        <w:t xml:space="preserve"> c. </w:t>
      </w:r>
      <w:r w:rsidRPr="00BC37EC">
        <w:rPr>
          <w:rFonts w:eastAsia="Arial"/>
          <w:i/>
          <w:iCs/>
          <w:lang w:val="en-CA"/>
        </w:rPr>
        <w:t>Intramodal inc.</w:t>
      </w:r>
      <w:r w:rsidRPr="00BC37EC">
        <w:rPr>
          <w:rFonts w:eastAsia="Arial"/>
          <w:lang w:val="en-CA"/>
        </w:rPr>
        <w:t xml:space="preserve">, </w:t>
      </w:r>
      <w:hyperlink r:id="rId118" w:history="1">
        <w:r w:rsidRPr="005977BA">
          <w:rPr>
            <w:rStyle w:val="Lienhypertexte"/>
            <w:lang w:val="en-CA"/>
          </w:rPr>
          <w:t>2016 CSC 51</w:t>
        </w:r>
      </w:hyperlink>
    </w:p>
    <w:p w14:paraId="6D16E261" w14:textId="6BFA3288" w:rsidR="00BC37EC" w:rsidRPr="005977BA" w:rsidRDefault="00BC37EC" w:rsidP="008C58BD">
      <w:pPr>
        <w:widowControl w:val="0"/>
        <w:tabs>
          <w:tab w:val="left" w:pos="284"/>
        </w:tabs>
        <w:autoSpaceDE w:val="0"/>
        <w:autoSpaceDN w:val="0"/>
        <w:spacing w:before="121" w:after="0" w:line="360" w:lineRule="auto"/>
        <w:ind w:left="1276"/>
        <w:rPr>
          <w:rFonts w:eastAsia="Arial"/>
          <w:i/>
          <w:lang w:val="en-CA"/>
        </w:rPr>
      </w:pPr>
      <w:r w:rsidRPr="00BC37EC">
        <w:rPr>
          <w:rFonts w:eastAsia="Arial"/>
          <w:i/>
          <w:iCs/>
          <w:lang w:val="en-CA"/>
        </w:rPr>
        <w:t>Wilson</w:t>
      </w:r>
      <w:r w:rsidRPr="00BC37EC">
        <w:rPr>
          <w:rFonts w:eastAsia="Arial"/>
          <w:lang w:val="en-CA"/>
        </w:rPr>
        <w:t xml:space="preserve"> c. </w:t>
      </w:r>
      <w:r w:rsidRPr="00BC37EC">
        <w:rPr>
          <w:rFonts w:eastAsia="Arial"/>
          <w:i/>
          <w:iCs/>
          <w:lang w:val="en-CA"/>
        </w:rPr>
        <w:t>Alharayeri</w:t>
      </w:r>
      <w:r w:rsidRPr="00BC37EC">
        <w:rPr>
          <w:rFonts w:eastAsia="Arial"/>
          <w:lang w:val="en-CA"/>
        </w:rPr>
        <w:t xml:space="preserve">, </w:t>
      </w:r>
      <w:hyperlink r:id="rId119" w:history="1">
        <w:r w:rsidRPr="005977BA">
          <w:rPr>
            <w:rStyle w:val="Lienhypertexte"/>
            <w:lang w:val="en-CA"/>
          </w:rPr>
          <w:t>2017 CSC 39</w:t>
        </w:r>
        <w:bookmarkStart w:id="122" w:name="Liste_en_matière_d’actions_collectives"/>
        <w:bookmarkStart w:id="123" w:name="_bookmark84"/>
        <w:bookmarkEnd w:id="122"/>
        <w:bookmarkEnd w:id="123"/>
      </w:hyperlink>
    </w:p>
    <w:p w14:paraId="2710A353" w14:textId="4898BFD9" w:rsidR="000D2880" w:rsidRDefault="006229F3" w:rsidP="00073E0A">
      <w:pPr>
        <w:pStyle w:val="Harmonisation-titre2"/>
      </w:pPr>
      <w:bookmarkStart w:id="124" w:name="_Toc154072915"/>
      <w:r>
        <w:t xml:space="preserve">En </w:t>
      </w:r>
      <w:r w:rsidR="000D2880">
        <w:t>matière d’actions collectives</w:t>
      </w:r>
      <w:bookmarkEnd w:id="124"/>
    </w:p>
    <w:p w14:paraId="0E9638FA" w14:textId="2C589A6C" w:rsidR="00AC53D2" w:rsidRDefault="00AC53D2" w:rsidP="008C58BD">
      <w:pPr>
        <w:pStyle w:val="Harmonisation-tiret"/>
        <w:numPr>
          <w:ilvl w:val="0"/>
          <w:numId w:val="0"/>
        </w:numPr>
        <w:ind w:left="1287"/>
      </w:pPr>
      <w:r w:rsidRPr="00A5598B">
        <w:rPr>
          <w:i/>
        </w:rPr>
        <w:t>Banque Amex du Canada</w:t>
      </w:r>
      <w:r w:rsidRPr="00363914">
        <w:t xml:space="preserve"> c. </w:t>
      </w:r>
      <w:r w:rsidRPr="00A5598B">
        <w:rPr>
          <w:i/>
        </w:rPr>
        <w:t>Adams</w:t>
      </w:r>
      <w:r w:rsidRPr="00363914">
        <w:t xml:space="preserve">, </w:t>
      </w:r>
      <w:hyperlink r:id="rId120" w:history="1">
        <w:r w:rsidRPr="00C74EDF">
          <w:rPr>
            <w:rStyle w:val="Lienhypertexte"/>
          </w:rPr>
          <w:t>2014 CSC 56</w:t>
        </w:r>
      </w:hyperlink>
    </w:p>
    <w:p w14:paraId="34148A3D" w14:textId="04BBA828" w:rsidR="00AC53D2" w:rsidRDefault="00AC53D2" w:rsidP="008C58BD">
      <w:pPr>
        <w:pStyle w:val="Harmonisation-tiret"/>
        <w:numPr>
          <w:ilvl w:val="0"/>
          <w:numId w:val="0"/>
        </w:numPr>
        <w:ind w:left="1287"/>
      </w:pPr>
      <w:r w:rsidRPr="00A5598B">
        <w:rPr>
          <w:i/>
        </w:rPr>
        <w:t>Banque de Montréal</w:t>
      </w:r>
      <w:r w:rsidRPr="00363914">
        <w:t xml:space="preserve"> c. </w:t>
      </w:r>
      <w:r w:rsidRPr="00A5598B">
        <w:rPr>
          <w:i/>
        </w:rPr>
        <w:t>Marcotte</w:t>
      </w:r>
      <w:r w:rsidRPr="00363914">
        <w:t xml:space="preserve">, </w:t>
      </w:r>
      <w:hyperlink r:id="rId121" w:history="1">
        <w:r w:rsidRPr="00C74EDF">
          <w:rPr>
            <w:rStyle w:val="Lienhypertexte"/>
          </w:rPr>
          <w:t>2014 CSC 55</w:t>
        </w:r>
      </w:hyperlink>
    </w:p>
    <w:p w14:paraId="13082193" w14:textId="4857024C" w:rsidR="00AC53D2" w:rsidRDefault="00AC53D2" w:rsidP="008C58BD">
      <w:pPr>
        <w:pStyle w:val="Harmonisation-tiret"/>
        <w:numPr>
          <w:ilvl w:val="0"/>
          <w:numId w:val="0"/>
        </w:numPr>
        <w:ind w:left="1287"/>
      </w:pPr>
      <w:r w:rsidRPr="00A5598B">
        <w:rPr>
          <w:i/>
        </w:rPr>
        <w:t>Bisaillon</w:t>
      </w:r>
      <w:r w:rsidRPr="00363914">
        <w:t xml:space="preserve"> c. </w:t>
      </w:r>
      <w:r w:rsidRPr="00A5598B">
        <w:rPr>
          <w:i/>
        </w:rPr>
        <w:t>Université Concordia</w:t>
      </w:r>
      <w:r w:rsidRPr="00363914">
        <w:t xml:space="preserve">, </w:t>
      </w:r>
      <w:hyperlink r:id="rId122" w:history="1">
        <w:r w:rsidRPr="00C74EDF">
          <w:rPr>
            <w:rStyle w:val="Lienhypertexte"/>
          </w:rPr>
          <w:t>2006 CSC 19</w:t>
        </w:r>
      </w:hyperlink>
    </w:p>
    <w:p w14:paraId="39FCCEF5" w14:textId="7462656A" w:rsidR="00AC53D2" w:rsidRDefault="00AC53D2" w:rsidP="008C58BD">
      <w:pPr>
        <w:pStyle w:val="Harmonisation-tiret"/>
        <w:numPr>
          <w:ilvl w:val="0"/>
          <w:numId w:val="0"/>
        </w:numPr>
        <w:ind w:left="1287"/>
      </w:pPr>
      <w:r w:rsidRPr="00A5598B">
        <w:rPr>
          <w:i/>
        </w:rPr>
        <w:t>Bou Malhab</w:t>
      </w:r>
      <w:r w:rsidRPr="006E5643">
        <w:t xml:space="preserve"> c. </w:t>
      </w:r>
      <w:r w:rsidRPr="00A5598B">
        <w:rPr>
          <w:i/>
        </w:rPr>
        <w:t>Diffusion Métromédia CMR inc.</w:t>
      </w:r>
      <w:r w:rsidRPr="006E5643">
        <w:t xml:space="preserve">, </w:t>
      </w:r>
      <w:hyperlink r:id="rId123" w:history="1">
        <w:r w:rsidRPr="00C74EDF">
          <w:rPr>
            <w:rStyle w:val="Lienhypertexte"/>
          </w:rPr>
          <w:t>2011 CSC 9</w:t>
        </w:r>
      </w:hyperlink>
    </w:p>
    <w:p w14:paraId="329C5C94" w14:textId="285B6852" w:rsidR="00AC53D2" w:rsidRDefault="00AC53D2" w:rsidP="008C58BD">
      <w:pPr>
        <w:pStyle w:val="Harmonisation-tiret"/>
        <w:numPr>
          <w:ilvl w:val="0"/>
          <w:numId w:val="0"/>
        </w:numPr>
        <w:ind w:left="1287"/>
      </w:pPr>
      <w:r w:rsidRPr="00A5598B">
        <w:rPr>
          <w:i/>
        </w:rPr>
        <w:t>Ciment du Saint-Laurent inc.</w:t>
      </w:r>
      <w:r w:rsidRPr="006E5643">
        <w:t xml:space="preserve"> c. </w:t>
      </w:r>
      <w:r w:rsidRPr="00A5598B">
        <w:rPr>
          <w:i/>
        </w:rPr>
        <w:t>Barrette</w:t>
      </w:r>
      <w:r w:rsidRPr="006E5643">
        <w:t xml:space="preserve">, </w:t>
      </w:r>
      <w:hyperlink r:id="rId124" w:history="1">
        <w:r w:rsidRPr="00C74EDF">
          <w:rPr>
            <w:rStyle w:val="Lienhypertexte"/>
          </w:rPr>
          <w:t>2008 CSC 64</w:t>
        </w:r>
      </w:hyperlink>
    </w:p>
    <w:p w14:paraId="33986FDC" w14:textId="06BFFEE3" w:rsidR="00AC53D2" w:rsidRDefault="00AC53D2" w:rsidP="008C58BD">
      <w:pPr>
        <w:pStyle w:val="Harmonisation-tiret"/>
        <w:numPr>
          <w:ilvl w:val="0"/>
          <w:numId w:val="0"/>
        </w:numPr>
        <w:ind w:left="1287"/>
      </w:pPr>
      <w:r w:rsidRPr="00A5598B">
        <w:rPr>
          <w:i/>
        </w:rPr>
        <w:t>Comité régional des usagers des transports en commun de Québec</w:t>
      </w:r>
      <w:r w:rsidRPr="006E5643">
        <w:t xml:space="preserve"> c</w:t>
      </w:r>
      <w:r w:rsidRPr="00A5598B">
        <w:rPr>
          <w:i/>
        </w:rPr>
        <w:t>. Commission des transports de la Communauté urbaine de Québec</w:t>
      </w:r>
      <w:r w:rsidRPr="006E5643">
        <w:t xml:space="preserve">, </w:t>
      </w:r>
      <w:hyperlink r:id="rId125" w:history="1">
        <w:r w:rsidRPr="00C74EDF">
          <w:rPr>
            <w:rStyle w:val="Lienhypertexte"/>
          </w:rPr>
          <w:t>[1981] 1 R.C.S. 424</w:t>
        </w:r>
      </w:hyperlink>
    </w:p>
    <w:p w14:paraId="7A081972" w14:textId="5F749C97" w:rsidR="00AC53D2" w:rsidRDefault="00AC53D2" w:rsidP="008C58BD">
      <w:pPr>
        <w:pStyle w:val="Harmonisation-tiret"/>
        <w:numPr>
          <w:ilvl w:val="0"/>
          <w:numId w:val="0"/>
        </w:numPr>
        <w:ind w:left="1287"/>
      </w:pPr>
      <w:r w:rsidRPr="00A5598B">
        <w:rPr>
          <w:i/>
        </w:rPr>
        <w:t xml:space="preserve">Dell Computer Corp. </w:t>
      </w:r>
      <w:r w:rsidRPr="006E5643">
        <w:t xml:space="preserve">c. </w:t>
      </w:r>
      <w:r w:rsidRPr="00A5598B">
        <w:rPr>
          <w:i/>
        </w:rPr>
        <w:t>Union des consommateurs</w:t>
      </w:r>
      <w:r w:rsidRPr="006E5643">
        <w:t xml:space="preserve">, </w:t>
      </w:r>
      <w:hyperlink r:id="rId126" w:history="1">
        <w:r w:rsidRPr="00C74EDF">
          <w:rPr>
            <w:rStyle w:val="Lienhypertexte"/>
          </w:rPr>
          <w:t>2007 CSC 34</w:t>
        </w:r>
      </w:hyperlink>
    </w:p>
    <w:p w14:paraId="23C5120B" w14:textId="3E5D94EB" w:rsidR="00AC53D2" w:rsidRDefault="00AC53D2" w:rsidP="008C58BD">
      <w:pPr>
        <w:pStyle w:val="Harmonisation-tiret"/>
        <w:numPr>
          <w:ilvl w:val="0"/>
          <w:numId w:val="0"/>
        </w:numPr>
        <w:ind w:left="1287"/>
      </w:pPr>
      <w:r w:rsidRPr="00A5598B">
        <w:rPr>
          <w:i/>
        </w:rPr>
        <w:t>Desjardins Cabinet de services financiers inc.</w:t>
      </w:r>
      <w:r>
        <w:t xml:space="preserve"> c. </w:t>
      </w:r>
      <w:r w:rsidRPr="00A5598B">
        <w:rPr>
          <w:i/>
        </w:rPr>
        <w:t>Asselin</w:t>
      </w:r>
      <w:r>
        <w:t xml:space="preserve">, </w:t>
      </w:r>
      <w:hyperlink r:id="rId127" w:history="1">
        <w:r w:rsidRPr="00C74EDF">
          <w:rPr>
            <w:rStyle w:val="Lienhypertexte"/>
          </w:rPr>
          <w:t>2020 CSC 30</w:t>
        </w:r>
      </w:hyperlink>
    </w:p>
    <w:p w14:paraId="13C6DCAA" w14:textId="58D57B85" w:rsidR="00AC53D2" w:rsidRDefault="00AC53D2" w:rsidP="008C58BD">
      <w:pPr>
        <w:pStyle w:val="Harmonisation-tiret"/>
        <w:numPr>
          <w:ilvl w:val="0"/>
          <w:numId w:val="0"/>
        </w:numPr>
        <w:ind w:left="1287"/>
      </w:pPr>
      <w:r w:rsidRPr="00A5598B">
        <w:rPr>
          <w:i/>
        </w:rPr>
        <w:t>Guimond</w:t>
      </w:r>
      <w:r w:rsidRPr="00CB5045">
        <w:t xml:space="preserve"> c. </w:t>
      </w:r>
      <w:r w:rsidRPr="00A5598B">
        <w:rPr>
          <w:i/>
        </w:rPr>
        <w:t>Québec (Procureur général)</w:t>
      </w:r>
      <w:r w:rsidRPr="00CB5045">
        <w:t xml:space="preserve">, </w:t>
      </w:r>
      <w:hyperlink r:id="rId128" w:history="1">
        <w:r w:rsidRPr="00C74EDF">
          <w:rPr>
            <w:rStyle w:val="Lienhypertexte"/>
          </w:rPr>
          <w:t>[1996] 3 R.C.S. 347</w:t>
        </w:r>
      </w:hyperlink>
    </w:p>
    <w:p w14:paraId="4F0C2812" w14:textId="52E9CF86" w:rsidR="00AC53D2" w:rsidRPr="004228F7" w:rsidRDefault="00AC53D2" w:rsidP="008C58BD">
      <w:pPr>
        <w:pStyle w:val="Harmonisation-tiret"/>
        <w:numPr>
          <w:ilvl w:val="0"/>
          <w:numId w:val="0"/>
        </w:numPr>
        <w:ind w:left="1287"/>
      </w:pPr>
      <w:r w:rsidRPr="004228F7">
        <w:rPr>
          <w:i/>
        </w:rPr>
        <w:t>Imperial Tobacco Canada ltée</w:t>
      </w:r>
      <w:r w:rsidRPr="004228F7">
        <w:t xml:space="preserve"> c. </w:t>
      </w:r>
      <w:r w:rsidRPr="004228F7">
        <w:rPr>
          <w:i/>
        </w:rPr>
        <w:t>Conseil québécois sur le tabac et la santé</w:t>
      </w:r>
      <w:r w:rsidRPr="004228F7">
        <w:t xml:space="preserve">, </w:t>
      </w:r>
      <w:hyperlink r:id="rId129" w:history="1">
        <w:r w:rsidRPr="004228F7">
          <w:rPr>
            <w:rStyle w:val="Lienhypertexte"/>
          </w:rPr>
          <w:t>2019 QCCA 358</w:t>
        </w:r>
      </w:hyperlink>
      <w:r w:rsidR="00C13945" w:rsidRPr="004228F7">
        <w:t xml:space="preserve">  </w:t>
      </w:r>
    </w:p>
    <w:p w14:paraId="206A0ADD" w14:textId="6D4E0DC8" w:rsidR="00AC53D2" w:rsidRDefault="00AC53D2" w:rsidP="008C58BD">
      <w:pPr>
        <w:pStyle w:val="Harmonisation-tiret"/>
        <w:numPr>
          <w:ilvl w:val="0"/>
          <w:numId w:val="0"/>
        </w:numPr>
        <w:ind w:left="1287"/>
      </w:pPr>
      <w:r w:rsidRPr="00A5598B">
        <w:rPr>
          <w:i/>
        </w:rPr>
        <w:t>Infineon Technologies AG</w:t>
      </w:r>
      <w:r w:rsidRPr="00B30E43">
        <w:t xml:space="preserve"> c. </w:t>
      </w:r>
      <w:r w:rsidRPr="00A5598B">
        <w:rPr>
          <w:i/>
        </w:rPr>
        <w:t>Option consommateurs</w:t>
      </w:r>
      <w:r w:rsidRPr="00B30E43">
        <w:t xml:space="preserve">, </w:t>
      </w:r>
      <w:hyperlink r:id="rId130" w:history="1">
        <w:r w:rsidRPr="00C74EDF">
          <w:rPr>
            <w:rStyle w:val="Lienhypertexte"/>
          </w:rPr>
          <w:t>2013 CSC 59</w:t>
        </w:r>
      </w:hyperlink>
    </w:p>
    <w:p w14:paraId="1F2F8F56" w14:textId="1A9DF15A" w:rsidR="00AC53D2" w:rsidRDefault="00AC53D2" w:rsidP="008C58BD">
      <w:pPr>
        <w:pStyle w:val="Harmonisation-tiret"/>
        <w:numPr>
          <w:ilvl w:val="0"/>
          <w:numId w:val="0"/>
        </w:numPr>
        <w:ind w:left="1287"/>
      </w:pPr>
      <w:r w:rsidRPr="00A5598B">
        <w:rPr>
          <w:i/>
        </w:rPr>
        <w:t>L’Oratoire Saint Joseph du Mont Royal</w:t>
      </w:r>
      <w:r w:rsidRPr="00B30E43">
        <w:t xml:space="preserve"> c. </w:t>
      </w:r>
      <w:r w:rsidRPr="00A5598B">
        <w:rPr>
          <w:i/>
        </w:rPr>
        <w:t>J.J.</w:t>
      </w:r>
      <w:r w:rsidRPr="00B30E43">
        <w:t xml:space="preserve">, </w:t>
      </w:r>
      <w:hyperlink r:id="rId131" w:history="1">
        <w:r w:rsidRPr="00CF3E79">
          <w:rPr>
            <w:rStyle w:val="Lienhypertexte"/>
          </w:rPr>
          <w:t>2019 CSC 35</w:t>
        </w:r>
      </w:hyperlink>
    </w:p>
    <w:p w14:paraId="7E9AA1EB" w14:textId="58FFEB98" w:rsidR="00AC53D2" w:rsidRDefault="00AC53D2" w:rsidP="008C58BD">
      <w:pPr>
        <w:pStyle w:val="Harmonisation-tiret"/>
        <w:numPr>
          <w:ilvl w:val="0"/>
          <w:numId w:val="0"/>
        </w:numPr>
        <w:ind w:left="1287"/>
      </w:pPr>
      <w:r w:rsidRPr="00A5598B">
        <w:rPr>
          <w:i/>
        </w:rPr>
        <w:t>Marcotte</w:t>
      </w:r>
      <w:r w:rsidRPr="00B30E43">
        <w:t xml:space="preserve"> c. </w:t>
      </w:r>
      <w:r w:rsidRPr="00A5598B">
        <w:rPr>
          <w:i/>
        </w:rPr>
        <w:t>Fédération des caisses Desjardins du Québec</w:t>
      </w:r>
      <w:r>
        <w:t xml:space="preserve">, </w:t>
      </w:r>
      <w:hyperlink r:id="rId132" w:history="1">
        <w:r w:rsidRPr="00BE509C">
          <w:rPr>
            <w:rStyle w:val="Lienhypertexte"/>
          </w:rPr>
          <w:t>2014 CSC 57</w:t>
        </w:r>
      </w:hyperlink>
    </w:p>
    <w:p w14:paraId="0D429FBF" w14:textId="7BE0A195" w:rsidR="00AC53D2" w:rsidRDefault="00AC53D2" w:rsidP="008C58BD">
      <w:pPr>
        <w:pStyle w:val="Harmonisation-tiret"/>
        <w:numPr>
          <w:ilvl w:val="0"/>
          <w:numId w:val="0"/>
        </w:numPr>
        <w:ind w:left="1287"/>
      </w:pPr>
      <w:r w:rsidRPr="00A5598B">
        <w:rPr>
          <w:i/>
        </w:rPr>
        <w:t>Marcotte</w:t>
      </w:r>
      <w:r w:rsidRPr="001770A4">
        <w:t xml:space="preserve"> c. </w:t>
      </w:r>
      <w:r w:rsidRPr="00A5598B">
        <w:rPr>
          <w:i/>
        </w:rPr>
        <w:t>Longueuil (Ville)</w:t>
      </w:r>
      <w:r w:rsidRPr="001770A4">
        <w:t xml:space="preserve">, </w:t>
      </w:r>
      <w:hyperlink r:id="rId133" w:history="1">
        <w:r w:rsidRPr="00BE509C">
          <w:rPr>
            <w:rStyle w:val="Lienhypertexte"/>
          </w:rPr>
          <w:t>2009 CSC 43</w:t>
        </w:r>
      </w:hyperlink>
    </w:p>
    <w:p w14:paraId="4FF7211A" w14:textId="7FC9B75A" w:rsidR="00AC53D2" w:rsidRDefault="00AC53D2" w:rsidP="008C58BD">
      <w:pPr>
        <w:pStyle w:val="Harmonisation-tiret"/>
        <w:numPr>
          <w:ilvl w:val="0"/>
          <w:numId w:val="0"/>
        </w:numPr>
        <w:ind w:left="1287"/>
      </w:pPr>
      <w:r w:rsidRPr="00A5598B">
        <w:rPr>
          <w:i/>
        </w:rPr>
        <w:t>Québec (Curateur public)</w:t>
      </w:r>
      <w:r w:rsidRPr="001770A4">
        <w:t xml:space="preserve"> c. </w:t>
      </w:r>
      <w:r w:rsidRPr="00A5598B">
        <w:rPr>
          <w:i/>
        </w:rPr>
        <w:t>Syndicat national des employés de l’hôpital St</w:t>
      </w:r>
      <w:r w:rsidR="00134EC0">
        <w:rPr>
          <w:i/>
        </w:rPr>
        <w:t>-</w:t>
      </w:r>
      <w:r w:rsidRPr="00A5598B">
        <w:rPr>
          <w:i/>
        </w:rPr>
        <w:t>Ferdinand</w:t>
      </w:r>
      <w:r w:rsidRPr="001770A4">
        <w:t xml:space="preserve">, </w:t>
      </w:r>
      <w:hyperlink r:id="rId134" w:history="1">
        <w:r w:rsidRPr="00BE509C">
          <w:rPr>
            <w:rStyle w:val="Lienhypertexte"/>
          </w:rPr>
          <w:t>[1996] 3 R.C.S. 211</w:t>
        </w:r>
      </w:hyperlink>
    </w:p>
    <w:p w14:paraId="56BDBD8F" w14:textId="3DFA1FF6" w:rsidR="00AC53D2" w:rsidRDefault="00AC53D2" w:rsidP="008C58BD">
      <w:pPr>
        <w:pStyle w:val="Harmonisation-tiret"/>
        <w:numPr>
          <w:ilvl w:val="0"/>
          <w:numId w:val="0"/>
        </w:numPr>
        <w:ind w:left="1287"/>
      </w:pPr>
      <w:r w:rsidRPr="00A5598B">
        <w:rPr>
          <w:i/>
        </w:rPr>
        <w:t>Société canadienne des postes</w:t>
      </w:r>
      <w:r w:rsidRPr="005E6A13">
        <w:t xml:space="preserve"> c. </w:t>
      </w:r>
      <w:r w:rsidRPr="00A5598B">
        <w:rPr>
          <w:i/>
        </w:rPr>
        <w:t>Lépine</w:t>
      </w:r>
      <w:r w:rsidRPr="005E6A13">
        <w:t xml:space="preserve">, </w:t>
      </w:r>
      <w:hyperlink r:id="rId135" w:history="1">
        <w:r w:rsidRPr="003A1806">
          <w:rPr>
            <w:rStyle w:val="Lienhypertexte"/>
          </w:rPr>
          <w:t>2009 CSC 16</w:t>
        </w:r>
      </w:hyperlink>
    </w:p>
    <w:p w14:paraId="481DEBFE" w14:textId="0764B304" w:rsidR="00AC53D2" w:rsidRDefault="00AC53D2" w:rsidP="008C58BD">
      <w:pPr>
        <w:pStyle w:val="Harmonisation-tiret"/>
        <w:numPr>
          <w:ilvl w:val="0"/>
          <w:numId w:val="0"/>
        </w:numPr>
        <w:ind w:left="1287"/>
      </w:pPr>
      <w:r w:rsidRPr="00A5598B">
        <w:rPr>
          <w:i/>
        </w:rPr>
        <w:t>Vivendi Canada Inc.</w:t>
      </w:r>
      <w:r w:rsidRPr="005E6A13">
        <w:t xml:space="preserve"> c. </w:t>
      </w:r>
      <w:r w:rsidRPr="00A5598B">
        <w:rPr>
          <w:i/>
        </w:rPr>
        <w:t>Dell’Aniello</w:t>
      </w:r>
      <w:r w:rsidRPr="005E6A13">
        <w:t xml:space="preserve">, </w:t>
      </w:r>
      <w:hyperlink r:id="rId136" w:history="1">
        <w:r w:rsidRPr="004228F7">
          <w:rPr>
            <w:rStyle w:val="Lienhypertexte"/>
          </w:rPr>
          <w:t>2014 CSC 1</w:t>
        </w:r>
      </w:hyperlink>
    </w:p>
    <w:p w14:paraId="44566C63" w14:textId="19E07C37" w:rsidR="000D2880" w:rsidRPr="004228F7" w:rsidRDefault="00AC53D2" w:rsidP="008C58BD">
      <w:pPr>
        <w:pStyle w:val="Harmonisation-tiret"/>
        <w:numPr>
          <w:ilvl w:val="0"/>
          <w:numId w:val="0"/>
        </w:numPr>
        <w:ind w:left="1287"/>
        <w:rPr>
          <w:lang w:val="en-CA"/>
        </w:rPr>
      </w:pPr>
      <w:r w:rsidRPr="004228F7">
        <w:rPr>
          <w:i/>
          <w:lang w:val="en-CA"/>
        </w:rPr>
        <w:t>Western Canadian Shopping Centres Inc.</w:t>
      </w:r>
      <w:r w:rsidRPr="004228F7">
        <w:rPr>
          <w:lang w:val="en-CA"/>
        </w:rPr>
        <w:t xml:space="preserve"> c. </w:t>
      </w:r>
      <w:r w:rsidRPr="004228F7">
        <w:rPr>
          <w:i/>
          <w:lang w:val="en-CA"/>
        </w:rPr>
        <w:t>Dutton</w:t>
      </w:r>
      <w:r w:rsidRPr="004228F7">
        <w:rPr>
          <w:lang w:val="en-CA"/>
        </w:rPr>
        <w:t xml:space="preserve">, </w:t>
      </w:r>
      <w:hyperlink r:id="rId137" w:history="1">
        <w:r w:rsidRPr="004228F7">
          <w:rPr>
            <w:rStyle w:val="Lienhypertexte"/>
            <w:lang w:val="en-CA"/>
          </w:rPr>
          <w:t>2001 CSC 4</w:t>
        </w:r>
        <w:r w:rsidR="004228F7" w:rsidRPr="004228F7">
          <w:rPr>
            <w:rStyle w:val="Lienhypertexte"/>
            <w:lang w:val="en-CA"/>
          </w:rPr>
          <w:t>6</w:t>
        </w:r>
      </w:hyperlink>
      <w:r w:rsidR="00C13945" w:rsidRPr="004228F7">
        <w:rPr>
          <w:lang w:val="en-CA"/>
        </w:rPr>
        <w:t xml:space="preserve"> </w:t>
      </w:r>
    </w:p>
    <w:p w14:paraId="27A1FAF4" w14:textId="58F28154" w:rsidR="003A1806" w:rsidRPr="005A0C7B" w:rsidRDefault="003A1806" w:rsidP="008C58BD">
      <w:pPr>
        <w:pStyle w:val="Harmonisation-tiret"/>
        <w:numPr>
          <w:ilvl w:val="0"/>
          <w:numId w:val="0"/>
        </w:numPr>
        <w:ind w:left="1287"/>
      </w:pPr>
      <w:r w:rsidRPr="005A0C7B">
        <w:rPr>
          <w:i/>
        </w:rPr>
        <w:lastRenderedPageBreak/>
        <w:t xml:space="preserve">Ellis-Don Ltd. </w:t>
      </w:r>
      <w:r w:rsidRPr="00073E0A">
        <w:rPr>
          <w:iCs/>
        </w:rPr>
        <w:t>c.</w:t>
      </w:r>
      <w:r w:rsidRPr="005A0C7B">
        <w:rPr>
          <w:i/>
        </w:rPr>
        <w:t xml:space="preserve"> Ontario (Commission des relations de travail</w:t>
      </w:r>
      <w:r w:rsidR="005A0C7B" w:rsidRPr="005A0C7B">
        <w:rPr>
          <w:i/>
        </w:rPr>
        <w:t xml:space="preserve">), </w:t>
      </w:r>
      <w:hyperlink r:id="rId138" w:history="1">
        <w:r w:rsidRPr="005A0C7B">
          <w:rPr>
            <w:rStyle w:val="Lienhypertexte"/>
          </w:rPr>
          <w:t>2001</w:t>
        </w:r>
        <w:r w:rsidR="005A0C7B">
          <w:rPr>
            <w:rStyle w:val="Lienhypertexte"/>
          </w:rPr>
          <w:t> </w:t>
        </w:r>
        <w:r w:rsidRPr="005A0C7B">
          <w:rPr>
            <w:rStyle w:val="Lienhypertexte"/>
          </w:rPr>
          <w:t>CSC 4</w:t>
        </w:r>
      </w:hyperlink>
    </w:p>
    <w:p w14:paraId="4288E583" w14:textId="77777777" w:rsidR="00D34929" w:rsidRPr="005A0C7B" w:rsidRDefault="00D34929">
      <w:pPr>
        <w:rPr>
          <w:rFonts w:eastAsia="Arial"/>
          <w:color w:val="000000"/>
          <w:u w:color="000000"/>
          <w:bdr w:val="nil"/>
          <w:lang w:eastAsia="fr-CA"/>
        </w:rPr>
      </w:pPr>
      <w:r w:rsidRPr="005A0C7B">
        <w:br w:type="page"/>
      </w:r>
    </w:p>
    <w:p w14:paraId="18D99A60" w14:textId="77777777" w:rsidR="00D34929" w:rsidRPr="00892F10" w:rsidRDefault="00D34929" w:rsidP="00D34929">
      <w:pPr>
        <w:pStyle w:val="Harmonisation-titre1"/>
        <w:rPr>
          <w:rStyle w:val="Style2Car"/>
          <w:b/>
        </w:rPr>
      </w:pPr>
      <w:bookmarkStart w:id="125" w:name="_Toc154072916"/>
      <w:r>
        <w:rPr>
          <w:rStyle w:val="Aucun"/>
          <w:lang w:val="fr-CA"/>
        </w:rPr>
        <w:lastRenderedPageBreak/>
        <w:t>LISTE DES ANNEXES</w:t>
      </w:r>
      <w:bookmarkEnd w:id="125"/>
    </w:p>
    <w:p w14:paraId="6F0408CC" w14:textId="6B3C3933" w:rsidR="00157337" w:rsidRPr="00431AC7" w:rsidRDefault="003225A5" w:rsidP="005977BA">
      <w:pPr>
        <w:pStyle w:val="Harmonisation-paragraphe"/>
        <w:numPr>
          <w:ilvl w:val="0"/>
          <w:numId w:val="0"/>
        </w:numPr>
        <w:rPr>
          <w:color w:val="000000" w:themeColor="text1"/>
        </w:rPr>
      </w:pPr>
      <w:r w:rsidRPr="00B0126F">
        <w:rPr>
          <w:bCs/>
        </w:rPr>
        <w:t>Division 1.</w:t>
      </w:r>
      <w:r w:rsidR="00023780">
        <w:rPr>
          <w:bCs/>
        </w:rPr>
        <w:tab/>
      </w:r>
      <w:hyperlink r:id="rId139" w:history="1">
        <w:r w:rsidR="00073964" w:rsidRPr="005D3804">
          <w:rPr>
            <w:rStyle w:val="Lienhypertexte"/>
          </w:rPr>
          <w:t>Indicateurs de tri</w:t>
        </w:r>
      </w:hyperlink>
    </w:p>
    <w:p w14:paraId="08D27598" w14:textId="5CC0CB18" w:rsidR="00073964" w:rsidRPr="00431AC7" w:rsidRDefault="003225A5" w:rsidP="005977BA">
      <w:pPr>
        <w:pStyle w:val="Harmonisation-paragraphe"/>
        <w:numPr>
          <w:ilvl w:val="0"/>
          <w:numId w:val="0"/>
        </w:numPr>
        <w:rPr>
          <w:rStyle w:val="Lienhypertexte"/>
          <w:color w:val="000000" w:themeColor="text1"/>
          <w:u w:val="none"/>
        </w:rPr>
      </w:pPr>
      <w:r w:rsidRPr="00B0126F">
        <w:rPr>
          <w:bCs/>
        </w:rPr>
        <w:t xml:space="preserve">Division </w:t>
      </w:r>
      <w:r>
        <w:rPr>
          <w:bCs/>
        </w:rPr>
        <w:t>2</w:t>
      </w:r>
      <w:r w:rsidRPr="00B0126F">
        <w:rPr>
          <w:bCs/>
        </w:rPr>
        <w:t>.</w:t>
      </w:r>
      <w:r w:rsidR="00023780">
        <w:rPr>
          <w:bCs/>
        </w:rPr>
        <w:tab/>
      </w:r>
      <w:hyperlink r:id="rId140" w:history="1">
        <w:r w:rsidR="00352F80" w:rsidRPr="005D3804">
          <w:rPr>
            <w:rStyle w:val="Lienhypertexte"/>
          </w:rPr>
          <w:t>Protocole de l’instance en matière civile</w:t>
        </w:r>
      </w:hyperlink>
    </w:p>
    <w:p w14:paraId="0CF608E3" w14:textId="2D6D3A00" w:rsidR="00073964" w:rsidRPr="00431AC7" w:rsidRDefault="003225A5" w:rsidP="005977BA">
      <w:pPr>
        <w:pStyle w:val="Harmonisation-paragraphe"/>
        <w:numPr>
          <w:ilvl w:val="0"/>
          <w:numId w:val="0"/>
        </w:numPr>
        <w:rPr>
          <w:rStyle w:val="Lienhypertexte"/>
          <w:color w:val="000000" w:themeColor="text1"/>
          <w:u w:val="none"/>
        </w:rPr>
      </w:pPr>
      <w:r w:rsidRPr="00B0126F">
        <w:rPr>
          <w:bCs/>
        </w:rPr>
        <w:t xml:space="preserve">Division </w:t>
      </w:r>
      <w:r>
        <w:rPr>
          <w:bCs/>
        </w:rPr>
        <w:t>3</w:t>
      </w:r>
      <w:r w:rsidRPr="00B0126F">
        <w:rPr>
          <w:bCs/>
        </w:rPr>
        <w:t>.</w:t>
      </w:r>
      <w:r w:rsidR="00023780">
        <w:rPr>
          <w:bCs/>
        </w:rPr>
        <w:tab/>
      </w:r>
      <w:hyperlink r:id="rId141" w:history="1">
        <w:r w:rsidR="00352F80" w:rsidRPr="005D3804">
          <w:rPr>
            <w:rStyle w:val="Lienhypertexte"/>
          </w:rPr>
          <w:t>Protocole de l’instance en matière familiale</w:t>
        </w:r>
      </w:hyperlink>
    </w:p>
    <w:p w14:paraId="55BF9693" w14:textId="69DF2895" w:rsidR="00352DD3" w:rsidRPr="00230961" w:rsidRDefault="003225A5" w:rsidP="005977BA">
      <w:pPr>
        <w:pStyle w:val="Harmonisation-paragraphe"/>
        <w:numPr>
          <w:ilvl w:val="0"/>
          <w:numId w:val="0"/>
        </w:numPr>
        <w:rPr>
          <w:rStyle w:val="Lienhypertexte"/>
          <w:color w:val="000000" w:themeColor="text1"/>
        </w:rPr>
      </w:pPr>
      <w:r w:rsidRPr="00B0126F">
        <w:rPr>
          <w:bCs/>
        </w:rPr>
        <w:t xml:space="preserve">Division </w:t>
      </w:r>
      <w:r>
        <w:rPr>
          <w:bCs/>
        </w:rPr>
        <w:t>4</w:t>
      </w:r>
      <w:r w:rsidRPr="00B0126F">
        <w:rPr>
          <w:bCs/>
        </w:rPr>
        <w:t>.</w:t>
      </w:r>
      <w:r w:rsidR="00023780">
        <w:rPr>
          <w:bCs/>
        </w:rPr>
        <w:tab/>
      </w:r>
      <w:hyperlink r:id="rId142" w:history="1">
        <w:r w:rsidR="00352DD3" w:rsidRPr="005D3804">
          <w:rPr>
            <w:rStyle w:val="Lienhypertexte"/>
          </w:rPr>
          <w:t>Déclaration commune pour fixation d’une audience</w:t>
        </w:r>
      </w:hyperlink>
    </w:p>
    <w:p w14:paraId="32006264" w14:textId="69C18D1D" w:rsidR="00C8465B" w:rsidRPr="00431AC7" w:rsidRDefault="003225A5" w:rsidP="005977BA">
      <w:pPr>
        <w:pStyle w:val="Harmonisation-paragraphe"/>
        <w:numPr>
          <w:ilvl w:val="0"/>
          <w:numId w:val="0"/>
        </w:numPr>
        <w:rPr>
          <w:rStyle w:val="Lienhypertexte"/>
          <w:color w:val="000000" w:themeColor="text1"/>
          <w:u w:val="none"/>
        </w:rPr>
      </w:pPr>
      <w:r w:rsidRPr="00B0126F">
        <w:rPr>
          <w:bCs/>
        </w:rPr>
        <w:t xml:space="preserve">Division </w:t>
      </w:r>
      <w:r>
        <w:rPr>
          <w:bCs/>
        </w:rPr>
        <w:t>5</w:t>
      </w:r>
      <w:r w:rsidRPr="00B0126F">
        <w:rPr>
          <w:bCs/>
        </w:rPr>
        <w:t>.</w:t>
      </w:r>
      <w:r w:rsidR="00023780">
        <w:rPr>
          <w:bCs/>
        </w:rPr>
        <w:tab/>
      </w:r>
      <w:hyperlink r:id="rId143" w:history="1">
        <w:r w:rsidR="00352F80" w:rsidRPr="005D3804">
          <w:rPr>
            <w:rStyle w:val="Lienhypertexte"/>
          </w:rPr>
          <w:t>Outrage au tribunal – Projet d’ordonnance de comparaître</w:t>
        </w:r>
      </w:hyperlink>
    </w:p>
    <w:p w14:paraId="53CB59C3" w14:textId="788BF319" w:rsidR="00352F80" w:rsidRPr="00431AC7" w:rsidRDefault="003225A5" w:rsidP="00073E0A">
      <w:pPr>
        <w:pStyle w:val="Harmonisation-paragraphe"/>
        <w:numPr>
          <w:ilvl w:val="0"/>
          <w:numId w:val="0"/>
        </w:numPr>
        <w:ind w:left="1418" w:hanging="1418"/>
        <w:rPr>
          <w:rStyle w:val="Lienhypertexte"/>
          <w:color w:val="000000" w:themeColor="text1"/>
          <w:u w:val="none"/>
        </w:rPr>
      </w:pPr>
      <w:r w:rsidRPr="00B0126F">
        <w:rPr>
          <w:bCs/>
        </w:rPr>
        <w:t>Division</w:t>
      </w:r>
      <w:r>
        <w:rPr>
          <w:bCs/>
        </w:rPr>
        <w:t xml:space="preserve"> 6</w:t>
      </w:r>
      <w:r w:rsidRPr="00B0126F">
        <w:rPr>
          <w:bCs/>
        </w:rPr>
        <w:t>.</w:t>
      </w:r>
      <w:r w:rsidR="00023780">
        <w:rPr>
          <w:bCs/>
        </w:rPr>
        <w:tab/>
      </w:r>
      <w:hyperlink r:id="rId144" w:history="1">
        <w:r w:rsidR="00352F80" w:rsidRPr="005D3804">
          <w:rPr>
            <w:rStyle w:val="Lienhypertexte"/>
            <w:bCs/>
          </w:rPr>
          <w:t xml:space="preserve">Demande d’inscription pour instruction et jugement par </w:t>
        </w:r>
        <w:r w:rsidRPr="005D3804">
          <w:rPr>
            <w:rStyle w:val="Lienhypertexte"/>
            <w:bCs/>
          </w:rPr>
          <w:t>déclaration   commune</w:t>
        </w:r>
        <w:r w:rsidR="00352F80" w:rsidRPr="005D3804">
          <w:rPr>
            <w:rStyle w:val="Lienhypertexte"/>
            <w:bCs/>
          </w:rPr>
          <w:t xml:space="preserve"> (matière civile</w:t>
        </w:r>
        <w:r w:rsidR="00352F80" w:rsidRPr="005D3804">
          <w:rPr>
            <w:rStyle w:val="Lienhypertexte"/>
          </w:rPr>
          <w:t>)</w:t>
        </w:r>
      </w:hyperlink>
    </w:p>
    <w:p w14:paraId="3B3F79F6" w14:textId="2BFA0C94" w:rsidR="00352F80" w:rsidRPr="00431AC7" w:rsidRDefault="003225A5" w:rsidP="00073E0A">
      <w:pPr>
        <w:pStyle w:val="Harmonisation-paragraphe"/>
        <w:numPr>
          <w:ilvl w:val="0"/>
          <w:numId w:val="0"/>
        </w:numPr>
        <w:ind w:left="1418" w:hanging="1418"/>
        <w:rPr>
          <w:rStyle w:val="Lienhypertexte"/>
          <w:color w:val="000000" w:themeColor="text1"/>
          <w:u w:val="none"/>
        </w:rPr>
      </w:pPr>
      <w:r w:rsidRPr="00B0126F">
        <w:rPr>
          <w:bCs/>
        </w:rPr>
        <w:t xml:space="preserve">Division </w:t>
      </w:r>
      <w:r>
        <w:rPr>
          <w:bCs/>
        </w:rPr>
        <w:t>7</w:t>
      </w:r>
      <w:r w:rsidRPr="00B0126F">
        <w:rPr>
          <w:bCs/>
        </w:rPr>
        <w:t xml:space="preserve">. </w:t>
      </w:r>
      <w:r w:rsidR="00023780">
        <w:rPr>
          <w:bCs/>
        </w:rPr>
        <w:tab/>
      </w:r>
      <w:hyperlink r:id="rId145" w:history="1">
        <w:r w:rsidR="00352F80" w:rsidRPr="005D3804">
          <w:rPr>
            <w:rStyle w:val="Lienhypertexte"/>
          </w:rPr>
          <w:t>Demande d’inscription pour instruction et jugement par déclaration commune (matière familiale)</w:t>
        </w:r>
      </w:hyperlink>
    </w:p>
    <w:p w14:paraId="674EE082" w14:textId="0CD97B12" w:rsidR="005B170C" w:rsidRPr="00431AC7" w:rsidRDefault="003225A5" w:rsidP="005977BA">
      <w:pPr>
        <w:pStyle w:val="Harmonisation-paragraphe"/>
        <w:numPr>
          <w:ilvl w:val="0"/>
          <w:numId w:val="0"/>
        </w:numPr>
        <w:rPr>
          <w:color w:val="000000" w:themeColor="text1"/>
        </w:rPr>
      </w:pPr>
      <w:r w:rsidRPr="00B0126F">
        <w:rPr>
          <w:bCs/>
        </w:rPr>
        <w:t xml:space="preserve">Division </w:t>
      </w:r>
      <w:r>
        <w:rPr>
          <w:bCs/>
        </w:rPr>
        <w:t>8</w:t>
      </w:r>
      <w:r w:rsidRPr="00B0126F">
        <w:rPr>
          <w:bCs/>
        </w:rPr>
        <w:t>.</w:t>
      </w:r>
      <w:r w:rsidR="00023780">
        <w:rPr>
          <w:bCs/>
        </w:rPr>
        <w:tab/>
      </w:r>
      <w:hyperlink r:id="rId146" w:history="1">
        <w:r w:rsidR="00352F80" w:rsidRPr="005D3804">
          <w:rPr>
            <w:rStyle w:val="Lienhypertexte"/>
          </w:rPr>
          <w:t>Demande conjointe pour une conférence de règlement à l’amiable</w:t>
        </w:r>
        <w:bookmarkStart w:id="126" w:name="Annexe1"/>
        <w:bookmarkEnd w:id="126"/>
      </w:hyperlink>
    </w:p>
    <w:sectPr w:rsidR="005B170C" w:rsidRPr="00431AC7" w:rsidSect="00391EE3">
      <w:headerReference w:type="default" r:id="rId147"/>
      <w:footerReference w:type="default" r:id="rId148"/>
      <w:headerReference w:type="first" r:id="rId149"/>
      <w:pgSz w:w="12240" w:h="15840" w:code="1"/>
      <w:pgMar w:top="1440" w:right="1797" w:bottom="1361" w:left="1843" w:header="720" w:footer="8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14FE" w14:textId="77777777" w:rsidR="00361AFF" w:rsidRDefault="00361AFF" w:rsidP="005E629F">
      <w:pPr>
        <w:spacing w:after="0" w:line="240" w:lineRule="auto"/>
      </w:pPr>
      <w:r>
        <w:separator/>
      </w:r>
    </w:p>
  </w:endnote>
  <w:endnote w:type="continuationSeparator" w:id="0">
    <w:p w14:paraId="0387DE24" w14:textId="77777777" w:rsidR="00361AFF" w:rsidRDefault="00361AFF" w:rsidP="005E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Gra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3AA0" w14:textId="77777777" w:rsidR="00E2663A" w:rsidRDefault="00E266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5254" w14:textId="77777777" w:rsidR="00C80058" w:rsidRPr="00AA28D7" w:rsidRDefault="00C80058" w:rsidP="00AA28D7">
    <w:pPr>
      <w:pStyle w:val="Pieddepage"/>
      <w:jc w:val="center"/>
    </w:pPr>
    <w:r>
      <w:fldChar w:fldCharType="begin"/>
    </w:r>
    <w:r>
      <w:instrText xml:space="preserve"> PAGE  \* roman  \* MERGEFORMAT </w:instrText>
    </w:r>
    <w:r>
      <w:fldChar w:fldCharType="separate"/>
    </w:r>
    <w:r w:rsidR="00DE056B">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B00B" w14:textId="77777777" w:rsidR="00C80058" w:rsidRDefault="00C80058" w:rsidP="00F95996">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6FB" w14:textId="77777777" w:rsidR="00C80058" w:rsidRPr="00391EE3" w:rsidRDefault="00C80058" w:rsidP="00391E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B94D" w14:textId="77777777" w:rsidR="00361AFF" w:rsidRDefault="00361AFF" w:rsidP="005E629F">
      <w:pPr>
        <w:spacing w:after="0" w:line="240" w:lineRule="auto"/>
      </w:pPr>
      <w:r>
        <w:separator/>
      </w:r>
    </w:p>
  </w:footnote>
  <w:footnote w:type="continuationSeparator" w:id="0">
    <w:p w14:paraId="72FD0CD3" w14:textId="77777777" w:rsidR="00361AFF" w:rsidRDefault="00361AFF" w:rsidP="005E629F">
      <w:pPr>
        <w:spacing w:after="0" w:line="240" w:lineRule="auto"/>
      </w:pPr>
      <w:r>
        <w:continuationSeparator/>
      </w:r>
    </w:p>
  </w:footnote>
  <w:footnote w:id="1">
    <w:p w14:paraId="626CA930" w14:textId="77777777" w:rsidR="00C80058" w:rsidRDefault="00C80058" w:rsidP="00CA052B">
      <w:pPr>
        <w:pStyle w:val="Notedebasdepage"/>
      </w:pPr>
      <w:r>
        <w:rPr>
          <w:rStyle w:val="Appelnotedebasdep"/>
        </w:rPr>
        <w:footnoteRef/>
      </w:r>
      <w:r>
        <w:t xml:space="preserve">   Reconnaissance optique de caractères qui permet la recherche par mots-clés.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FF6B" w14:textId="77777777" w:rsidR="00C80058" w:rsidRDefault="0074466F">
    <w:pPr>
      <w:pStyle w:val="En-tte"/>
    </w:pPr>
    <w:r>
      <w:rPr>
        <w:noProof/>
      </w:rPr>
      <w:pict w14:anchorId="58532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22626" o:spid="_x0000_s1027" type="#_x0000_t136" style="position:absolute;margin-left:0;margin-top:0;width:471.55pt;height:134.7pt;rotation:315;z-index:-251653120;mso-position-horizontal:center;mso-position-horizontal-relative:margin;mso-position-vertical:center;mso-position-vertical-relative:margin" o:allowincell="f" fillcolor="#d8d8d8 [2732]"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68AC" w14:textId="77777777" w:rsidR="00E2663A" w:rsidRDefault="00E266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DFD2" w14:textId="77777777" w:rsidR="00C80058" w:rsidRDefault="0074466F">
    <w:pPr>
      <w:pStyle w:val="En-tte"/>
    </w:pPr>
    <w:r>
      <w:rPr>
        <w:noProof/>
      </w:rPr>
      <w:pict w14:anchorId="3C858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22625" o:spid="_x0000_s1026" type="#_x0000_t136" style="position:absolute;margin-left:0;margin-top:0;width:558.45pt;height:168.65pt;rotation:315;z-index:-251655168;mso-position-horizontal:center;mso-position-horizontal-relative:margin;mso-position-vertical:center;mso-position-vertical-relative:margin" o:allowincell="f" fillcolor="#d8d8d8 [2732]" stroked="f">
          <v:fill opacity=".5"/>
          <v:textpath style="font-family:&quot;Arial&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FF9" w14:textId="57B0C7B9" w:rsidR="00391EE3" w:rsidRDefault="00391EE3">
    <w:pPr>
      <w:pStyle w:val="En-tte"/>
    </w:pPr>
    <w:r>
      <w:tab/>
    </w:r>
    <w:r>
      <w:tab/>
    </w:r>
    <w:r>
      <w:fldChar w:fldCharType="begin"/>
    </w:r>
    <w:r>
      <w:instrText>PAGE   \* MERGEFORMAT</w:instrText>
    </w:r>
    <w:r>
      <w:fldChar w:fldCharType="separate"/>
    </w:r>
    <w:r>
      <w:rPr>
        <w:lang w:val="fr-FR"/>
      </w:rP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D32B" w14:textId="18F0F125" w:rsidR="00391EE3" w:rsidRDefault="00391EE3">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4D87346"/>
    <w:multiLevelType w:val="hybridMultilevel"/>
    <w:tmpl w:val="0F2EC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127C4ABD"/>
    <w:multiLevelType w:val="multilevel"/>
    <w:tmpl w:val="AB50D208"/>
    <w:lvl w:ilvl="0">
      <w:start w:val="1"/>
      <w:numFmt w:val="decimal"/>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lowerLetter"/>
      <w:pStyle w:val="a"/>
      <w:lvlText w:val="%2)"/>
      <w:lvlJc w:val="left"/>
      <w:pPr>
        <w:tabs>
          <w:tab w:val="num" w:pos="871"/>
        </w:tabs>
        <w:ind w:left="1339" w:hanging="389"/>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 w15:restartNumberingAfterBreak="0">
    <w:nsid w:val="16DA6A52"/>
    <w:multiLevelType w:val="hybridMultilevel"/>
    <w:tmpl w:val="57EC5CFE"/>
    <w:lvl w:ilvl="0" w:tplc="99003D32">
      <w:start w:val="1"/>
      <w:numFmt w:val="decimal"/>
      <w:lvlText w:val="%1."/>
      <w:lvlJc w:val="left"/>
      <w:pPr>
        <w:tabs>
          <w:tab w:val="num" w:pos="1146"/>
        </w:tabs>
        <w:ind w:left="1146" w:hanging="360"/>
      </w:pPr>
      <w:rPr>
        <w:rFonts w:hint="default"/>
        <w:b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50091A"/>
    <w:multiLevelType w:val="hybridMultilevel"/>
    <w:tmpl w:val="D8364294"/>
    <w:lvl w:ilvl="0" w:tplc="58680206">
      <w:start w:val="1"/>
      <w:numFmt w:val="lowerRoman"/>
      <w:pStyle w:val="Harmonisation-i"/>
      <w:lvlText w:val="%1."/>
      <w:lvlJc w:val="left"/>
      <w:pPr>
        <w:ind w:left="177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7936CD5"/>
    <w:multiLevelType w:val="hybridMultilevel"/>
    <w:tmpl w:val="FA8EA030"/>
    <w:lvl w:ilvl="0" w:tplc="1F3E0244">
      <w:start w:val="1"/>
      <w:numFmt w:val="decimal"/>
      <w:lvlText w:val="%1."/>
      <w:lvlJc w:val="left"/>
      <w:pPr>
        <w:tabs>
          <w:tab w:val="num" w:pos="720"/>
        </w:tabs>
        <w:ind w:left="720" w:hanging="360"/>
      </w:pPr>
      <w:rPr>
        <w:rFonts w:ascii="Arial" w:hAnsi="Arial" w:cs="Arial"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D5E3735"/>
    <w:multiLevelType w:val="hybridMultilevel"/>
    <w:tmpl w:val="072C63E8"/>
    <w:lvl w:ilvl="0" w:tplc="452403E6">
      <w:start w:val="3"/>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2FA10303"/>
    <w:multiLevelType w:val="hybridMultilevel"/>
    <w:tmpl w:val="87846DF4"/>
    <w:lvl w:ilvl="0" w:tplc="7B6665C4">
      <w:start w:val="1"/>
      <w:numFmt w:val="bullet"/>
      <w:lvlText w:val=""/>
      <w:lvlJc w:val="left"/>
      <w:pPr>
        <w:ind w:left="1213" w:hanging="286"/>
      </w:pPr>
      <w:rPr>
        <w:rFonts w:ascii="Symbol" w:hAnsi="Symbol" w:hint="default"/>
        <w:b w:val="0"/>
        <w:bCs w:val="0"/>
        <w:i w:val="0"/>
        <w:iCs w:val="0"/>
        <w:w w:val="100"/>
        <w:sz w:val="22"/>
        <w:szCs w:val="22"/>
        <w:lang w:val="fr-FR" w:eastAsia="en-US" w:bidi="ar-SA"/>
      </w:rPr>
    </w:lvl>
    <w:lvl w:ilvl="1" w:tplc="0DCE098E">
      <w:numFmt w:val="bullet"/>
      <w:lvlText w:val=""/>
      <w:lvlJc w:val="left"/>
      <w:pPr>
        <w:ind w:left="1355" w:hanging="286"/>
      </w:pPr>
      <w:rPr>
        <w:rFonts w:ascii="Symbol" w:eastAsia="Symbol" w:hAnsi="Symbol" w:cs="Symbol" w:hint="default"/>
        <w:b w:val="0"/>
        <w:bCs w:val="0"/>
        <w:i w:val="0"/>
        <w:iCs w:val="0"/>
        <w:w w:val="100"/>
        <w:sz w:val="22"/>
        <w:szCs w:val="22"/>
        <w:lang w:val="fr-FR" w:eastAsia="en-US" w:bidi="ar-SA"/>
      </w:rPr>
    </w:lvl>
    <w:lvl w:ilvl="2" w:tplc="CD8E63DC">
      <w:numFmt w:val="bullet"/>
      <w:lvlText w:val="•"/>
      <w:lvlJc w:val="left"/>
      <w:pPr>
        <w:ind w:left="2287" w:hanging="286"/>
      </w:pPr>
      <w:rPr>
        <w:rFonts w:hint="default"/>
        <w:lang w:val="fr-FR" w:eastAsia="en-US" w:bidi="ar-SA"/>
      </w:rPr>
    </w:lvl>
    <w:lvl w:ilvl="3" w:tplc="4F06F470">
      <w:numFmt w:val="bullet"/>
      <w:lvlText w:val="•"/>
      <w:lvlJc w:val="left"/>
      <w:pPr>
        <w:ind w:left="3211" w:hanging="286"/>
      </w:pPr>
      <w:rPr>
        <w:rFonts w:hint="default"/>
        <w:lang w:val="fr-FR" w:eastAsia="en-US" w:bidi="ar-SA"/>
      </w:rPr>
    </w:lvl>
    <w:lvl w:ilvl="4" w:tplc="2EE2DD94">
      <w:numFmt w:val="bullet"/>
      <w:lvlText w:val="•"/>
      <w:lvlJc w:val="left"/>
      <w:pPr>
        <w:ind w:left="4136" w:hanging="286"/>
      </w:pPr>
      <w:rPr>
        <w:rFonts w:hint="default"/>
        <w:lang w:val="fr-FR" w:eastAsia="en-US" w:bidi="ar-SA"/>
      </w:rPr>
    </w:lvl>
    <w:lvl w:ilvl="5" w:tplc="16AC4866">
      <w:numFmt w:val="bullet"/>
      <w:lvlText w:val="•"/>
      <w:lvlJc w:val="left"/>
      <w:pPr>
        <w:ind w:left="5060" w:hanging="286"/>
      </w:pPr>
      <w:rPr>
        <w:rFonts w:hint="default"/>
        <w:lang w:val="fr-FR" w:eastAsia="en-US" w:bidi="ar-SA"/>
      </w:rPr>
    </w:lvl>
    <w:lvl w:ilvl="6" w:tplc="D3DC56F6">
      <w:numFmt w:val="bullet"/>
      <w:lvlText w:val="•"/>
      <w:lvlJc w:val="left"/>
      <w:pPr>
        <w:ind w:left="5985" w:hanging="286"/>
      </w:pPr>
      <w:rPr>
        <w:rFonts w:hint="default"/>
        <w:lang w:val="fr-FR" w:eastAsia="en-US" w:bidi="ar-SA"/>
      </w:rPr>
    </w:lvl>
    <w:lvl w:ilvl="7" w:tplc="AB30008C">
      <w:numFmt w:val="bullet"/>
      <w:lvlText w:val="•"/>
      <w:lvlJc w:val="left"/>
      <w:pPr>
        <w:ind w:left="6909" w:hanging="286"/>
      </w:pPr>
      <w:rPr>
        <w:rFonts w:hint="default"/>
        <w:lang w:val="fr-FR" w:eastAsia="en-US" w:bidi="ar-SA"/>
      </w:rPr>
    </w:lvl>
    <w:lvl w:ilvl="8" w:tplc="7700A460">
      <w:numFmt w:val="bullet"/>
      <w:lvlText w:val="•"/>
      <w:lvlJc w:val="left"/>
      <w:pPr>
        <w:ind w:left="7834" w:hanging="286"/>
      </w:pPr>
      <w:rPr>
        <w:rFonts w:hint="default"/>
        <w:lang w:val="fr-FR" w:eastAsia="en-US" w:bidi="ar-SA"/>
      </w:rPr>
    </w:lvl>
  </w:abstractNum>
  <w:abstractNum w:abstractNumId="13"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DD6DC5"/>
    <w:multiLevelType w:val="hybridMultilevel"/>
    <w:tmpl w:val="E632A752"/>
    <w:lvl w:ilvl="0" w:tplc="92DCA364">
      <w:start w:val="1"/>
      <w:numFmt w:val="lowerLetter"/>
      <w:pStyle w:val="Harmonisation-a"/>
      <w:lvlText w:val="%1)"/>
      <w:lvlJc w:val="left"/>
      <w:pPr>
        <w:ind w:left="1495"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pStyle w:val="HarmonisationDB-nombres"/>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4F69F1"/>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F8C6FEC"/>
    <w:multiLevelType w:val="hybridMultilevel"/>
    <w:tmpl w:val="30AA3710"/>
    <w:lvl w:ilvl="0" w:tplc="D690DCCA">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525553BA"/>
    <w:multiLevelType w:val="hybridMultilevel"/>
    <w:tmpl w:val="7AB6175A"/>
    <w:numStyleLink w:val="Grossepuce"/>
  </w:abstractNum>
  <w:abstractNum w:abstractNumId="19" w15:restartNumberingAfterBreak="0">
    <w:nsid w:val="5691329E"/>
    <w:multiLevelType w:val="hybridMultilevel"/>
    <w:tmpl w:val="7A602096"/>
    <w:lvl w:ilvl="0" w:tplc="90A80ABA">
      <w:start w:val="1"/>
      <w:numFmt w:val="bullet"/>
      <w:pStyle w:val="Harmonisation-tir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0"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5BB1531"/>
    <w:multiLevelType w:val="hybridMultilevel"/>
    <w:tmpl w:val="67849724"/>
    <w:lvl w:ilvl="0" w:tplc="94F6116E">
      <w:numFmt w:val="bullet"/>
      <w:lvlText w:val=""/>
      <w:lvlJc w:val="left"/>
      <w:pPr>
        <w:ind w:left="716" w:hanging="286"/>
      </w:pPr>
      <w:rPr>
        <w:rFonts w:ascii="Symbol" w:eastAsia="Symbol" w:hAnsi="Symbol" w:cs="Symbol" w:hint="default"/>
        <w:b w:val="0"/>
        <w:bCs w:val="0"/>
        <w:i w:val="0"/>
        <w:iCs w:val="0"/>
        <w:w w:val="100"/>
        <w:sz w:val="22"/>
        <w:szCs w:val="22"/>
        <w:lang w:val="fr-FR" w:eastAsia="en-US" w:bidi="ar-SA"/>
      </w:rPr>
    </w:lvl>
    <w:lvl w:ilvl="1" w:tplc="0DCE098E">
      <w:numFmt w:val="bullet"/>
      <w:lvlText w:val=""/>
      <w:lvlJc w:val="left"/>
      <w:pPr>
        <w:ind w:left="858" w:hanging="286"/>
      </w:pPr>
      <w:rPr>
        <w:rFonts w:ascii="Symbol" w:eastAsia="Symbol" w:hAnsi="Symbol" w:cs="Symbol" w:hint="default"/>
        <w:b w:val="0"/>
        <w:bCs w:val="0"/>
        <w:i w:val="0"/>
        <w:iCs w:val="0"/>
        <w:w w:val="100"/>
        <w:sz w:val="22"/>
        <w:szCs w:val="22"/>
        <w:lang w:val="fr-FR" w:eastAsia="en-US" w:bidi="ar-SA"/>
      </w:rPr>
    </w:lvl>
    <w:lvl w:ilvl="2" w:tplc="CD8E63DC">
      <w:numFmt w:val="bullet"/>
      <w:lvlText w:val="•"/>
      <w:lvlJc w:val="left"/>
      <w:pPr>
        <w:ind w:left="1790" w:hanging="286"/>
      </w:pPr>
      <w:rPr>
        <w:rFonts w:hint="default"/>
        <w:lang w:val="fr-FR" w:eastAsia="en-US" w:bidi="ar-SA"/>
      </w:rPr>
    </w:lvl>
    <w:lvl w:ilvl="3" w:tplc="4F06F470">
      <w:numFmt w:val="bullet"/>
      <w:lvlText w:val="•"/>
      <w:lvlJc w:val="left"/>
      <w:pPr>
        <w:ind w:left="2714" w:hanging="286"/>
      </w:pPr>
      <w:rPr>
        <w:rFonts w:hint="default"/>
        <w:lang w:val="fr-FR" w:eastAsia="en-US" w:bidi="ar-SA"/>
      </w:rPr>
    </w:lvl>
    <w:lvl w:ilvl="4" w:tplc="2EE2DD94">
      <w:numFmt w:val="bullet"/>
      <w:lvlText w:val="•"/>
      <w:lvlJc w:val="left"/>
      <w:pPr>
        <w:ind w:left="3639" w:hanging="286"/>
      </w:pPr>
      <w:rPr>
        <w:rFonts w:hint="default"/>
        <w:lang w:val="fr-FR" w:eastAsia="en-US" w:bidi="ar-SA"/>
      </w:rPr>
    </w:lvl>
    <w:lvl w:ilvl="5" w:tplc="16AC4866">
      <w:numFmt w:val="bullet"/>
      <w:lvlText w:val="•"/>
      <w:lvlJc w:val="left"/>
      <w:pPr>
        <w:ind w:left="4563" w:hanging="286"/>
      </w:pPr>
      <w:rPr>
        <w:rFonts w:hint="default"/>
        <w:lang w:val="fr-FR" w:eastAsia="en-US" w:bidi="ar-SA"/>
      </w:rPr>
    </w:lvl>
    <w:lvl w:ilvl="6" w:tplc="D3DC56F6">
      <w:numFmt w:val="bullet"/>
      <w:lvlText w:val="•"/>
      <w:lvlJc w:val="left"/>
      <w:pPr>
        <w:ind w:left="5488" w:hanging="286"/>
      </w:pPr>
      <w:rPr>
        <w:rFonts w:hint="default"/>
        <w:lang w:val="fr-FR" w:eastAsia="en-US" w:bidi="ar-SA"/>
      </w:rPr>
    </w:lvl>
    <w:lvl w:ilvl="7" w:tplc="AB30008C">
      <w:numFmt w:val="bullet"/>
      <w:lvlText w:val="•"/>
      <w:lvlJc w:val="left"/>
      <w:pPr>
        <w:ind w:left="6412" w:hanging="286"/>
      </w:pPr>
      <w:rPr>
        <w:rFonts w:hint="default"/>
        <w:lang w:val="fr-FR" w:eastAsia="en-US" w:bidi="ar-SA"/>
      </w:rPr>
    </w:lvl>
    <w:lvl w:ilvl="8" w:tplc="7700A460">
      <w:numFmt w:val="bullet"/>
      <w:lvlText w:val="•"/>
      <w:lvlJc w:val="left"/>
      <w:pPr>
        <w:ind w:left="7337" w:hanging="286"/>
      </w:pPr>
      <w:rPr>
        <w:rFonts w:hint="default"/>
        <w:lang w:val="fr-FR" w:eastAsia="en-US" w:bidi="ar-SA"/>
      </w:rPr>
    </w:lvl>
  </w:abstractNum>
  <w:abstractNum w:abstractNumId="24" w15:restartNumberingAfterBreak="0">
    <w:nsid w:val="6DF652F9"/>
    <w:multiLevelType w:val="hybridMultilevel"/>
    <w:tmpl w:val="B91A9C70"/>
    <w:lvl w:ilvl="0" w:tplc="E2A69CC8">
      <w:start w:val="1"/>
      <w:numFmt w:val="decimal"/>
      <w:lvlText w:val="%1."/>
      <w:lvlJc w:val="left"/>
      <w:pPr>
        <w:ind w:left="1052"/>
      </w:pPr>
      <w:rPr>
        <w:rFonts w:ascii="Arial" w:eastAsia="Times New Roman" w:hAnsi="Arial" w:cs="Arial" w:hint="default"/>
        <w:b w:val="0"/>
        <w:i w:val="0"/>
        <w:strike w:val="0"/>
        <w:dstrike w:val="0"/>
        <w:color w:val="181717"/>
        <w:sz w:val="24"/>
        <w:szCs w:val="24"/>
        <w:u w:val="none" w:color="000000"/>
        <w:bdr w:val="none" w:sz="0" w:space="0" w:color="auto"/>
        <w:shd w:val="clear" w:color="auto" w:fill="auto"/>
        <w:vertAlign w:val="baseline"/>
      </w:rPr>
    </w:lvl>
    <w:lvl w:ilvl="1" w:tplc="ED965020">
      <w:start w:val="1"/>
      <w:numFmt w:val="lowerLetter"/>
      <w:lvlText w:val="%2"/>
      <w:lvlJc w:val="left"/>
      <w:pPr>
        <w:ind w:left="14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492BF32">
      <w:start w:val="1"/>
      <w:numFmt w:val="lowerRoman"/>
      <w:lvlText w:val="%3"/>
      <w:lvlJc w:val="left"/>
      <w:pPr>
        <w:ind w:left="21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89650F2">
      <w:start w:val="1"/>
      <w:numFmt w:val="decimal"/>
      <w:lvlText w:val="%4"/>
      <w:lvlJc w:val="left"/>
      <w:pPr>
        <w:ind w:left="288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F8A560C">
      <w:start w:val="1"/>
      <w:numFmt w:val="lowerLetter"/>
      <w:lvlText w:val="%5"/>
      <w:lvlJc w:val="left"/>
      <w:pPr>
        <w:ind w:left="360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2464B94">
      <w:start w:val="1"/>
      <w:numFmt w:val="lowerRoman"/>
      <w:lvlText w:val="%6"/>
      <w:lvlJc w:val="left"/>
      <w:pPr>
        <w:ind w:left="432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99C9390">
      <w:start w:val="1"/>
      <w:numFmt w:val="decimal"/>
      <w:lvlText w:val="%7"/>
      <w:lvlJc w:val="left"/>
      <w:pPr>
        <w:ind w:left="50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46EFA1E">
      <w:start w:val="1"/>
      <w:numFmt w:val="lowerLetter"/>
      <w:lvlText w:val="%8"/>
      <w:lvlJc w:val="left"/>
      <w:pPr>
        <w:ind w:left="57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A66CF42">
      <w:start w:val="1"/>
      <w:numFmt w:val="lowerRoman"/>
      <w:lvlText w:val="%9"/>
      <w:lvlJc w:val="left"/>
      <w:pPr>
        <w:ind w:left="648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5" w15:restartNumberingAfterBreak="0">
    <w:nsid w:val="748F5D15"/>
    <w:multiLevelType w:val="hybridMultilevel"/>
    <w:tmpl w:val="229E8F16"/>
    <w:numStyleLink w:val="Style2import00"/>
  </w:abstractNum>
  <w:abstractNum w:abstractNumId="26"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77D918E8"/>
    <w:multiLevelType w:val="multilevel"/>
    <w:tmpl w:val="F74A7316"/>
    <w:lvl w:ilvl="0">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pStyle w:val="HarmonisationDBlettres"/>
      <w:lvlText w:val="%2)"/>
      <w:lvlJc w:val="left"/>
      <w:pPr>
        <w:tabs>
          <w:tab w:val="left" w:pos="871"/>
        </w:tabs>
        <w:ind w:left="1339" w:hanging="389"/>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BD22AC"/>
    <w:multiLevelType w:val="hybridMultilevel"/>
    <w:tmpl w:val="C2D86B7C"/>
    <w:lvl w:ilvl="0" w:tplc="43EE95D0">
      <w:start w:val="1"/>
      <w:numFmt w:val="decimal"/>
      <w:lvlText w:val="%1."/>
      <w:lvlJc w:val="left"/>
      <w:pPr>
        <w:ind w:left="21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A1E1EBA"/>
    <w:multiLevelType w:val="hybridMultilevel"/>
    <w:tmpl w:val="A57E54DA"/>
    <w:lvl w:ilvl="0" w:tplc="A894AFBC">
      <w:start w:val="1"/>
      <w:numFmt w:val="bullet"/>
      <w:pStyle w:val="Flche"/>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DC66624"/>
    <w:multiLevelType w:val="multilevel"/>
    <w:tmpl w:val="D354CF60"/>
    <w:numStyleLink w:val="Nombres"/>
  </w:abstractNum>
  <w:abstractNum w:abstractNumId="31" w15:restartNumberingAfterBreak="0">
    <w:nsid w:val="7DC7169F"/>
    <w:multiLevelType w:val="hybridMultilevel"/>
    <w:tmpl w:val="1DBAAB36"/>
    <w:lvl w:ilvl="0" w:tplc="04848CD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7E1D79D0"/>
    <w:multiLevelType w:val="hybridMultilevel"/>
    <w:tmpl w:val="EF78622C"/>
    <w:lvl w:ilvl="0" w:tplc="7B6665C4">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16cid:durableId="679281965">
    <w:abstractNumId w:val="15"/>
  </w:num>
  <w:num w:numId="2" w16cid:durableId="1358317182">
    <w:abstractNumId w:val="3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HarmonisationDB-nombres"/>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2120951226">
    <w:abstractNumId w:val="20"/>
  </w:num>
  <w:num w:numId="4" w16cid:durableId="486626907">
    <w:abstractNumId w:val="14"/>
  </w:num>
  <w:num w:numId="5" w16cid:durableId="578632598">
    <w:abstractNumId w:val="19"/>
  </w:num>
  <w:num w:numId="6" w16cid:durableId="473642936">
    <w:abstractNumId w:val="4"/>
  </w:num>
  <w:num w:numId="7" w16cid:durableId="1297487216">
    <w:abstractNumId w:val="2"/>
  </w:num>
  <w:num w:numId="8" w16cid:durableId="1724602834">
    <w:abstractNumId w:val="25"/>
  </w:num>
  <w:num w:numId="9" w16cid:durableId="658533219">
    <w:abstractNumId w:val="20"/>
    <w:lvlOverride w:ilvl="0">
      <w:startOverride w:val="1"/>
    </w:lvlOverride>
  </w:num>
  <w:num w:numId="10" w16cid:durableId="413550126">
    <w:abstractNumId w:val="13"/>
  </w:num>
  <w:num w:numId="11" w16cid:durableId="1005403880">
    <w:abstractNumId w:val="14"/>
    <w:lvlOverride w:ilvl="0">
      <w:startOverride w:val="1"/>
    </w:lvlOverride>
  </w:num>
  <w:num w:numId="12" w16cid:durableId="304050393">
    <w:abstractNumId w:val="14"/>
    <w:lvlOverride w:ilvl="0">
      <w:startOverride w:val="1"/>
    </w:lvlOverride>
  </w:num>
  <w:num w:numId="13" w16cid:durableId="491144124">
    <w:abstractNumId w:val="14"/>
    <w:lvlOverride w:ilvl="0">
      <w:startOverride w:val="1"/>
    </w:lvlOverride>
  </w:num>
  <w:num w:numId="14" w16cid:durableId="1543982001">
    <w:abstractNumId w:val="14"/>
    <w:lvlOverride w:ilvl="0">
      <w:startOverride w:val="1"/>
    </w:lvlOverride>
  </w:num>
  <w:num w:numId="15" w16cid:durableId="1308320901">
    <w:abstractNumId w:val="29"/>
  </w:num>
  <w:num w:numId="16" w16cid:durableId="1846893174">
    <w:abstractNumId w:val="0"/>
  </w:num>
  <w:num w:numId="17" w16cid:durableId="1013918908">
    <w:abstractNumId w:val="26"/>
  </w:num>
  <w:num w:numId="18" w16cid:durableId="1668289458">
    <w:abstractNumId w:val="14"/>
    <w:lvlOverride w:ilvl="0">
      <w:startOverride w:val="1"/>
    </w:lvlOverride>
  </w:num>
  <w:num w:numId="19" w16cid:durableId="1308513224">
    <w:abstractNumId w:val="8"/>
  </w:num>
  <w:num w:numId="20" w16cid:durableId="20476201">
    <w:abstractNumId w:val="14"/>
    <w:lvlOverride w:ilvl="0">
      <w:startOverride w:val="1"/>
    </w:lvlOverride>
  </w:num>
  <w:num w:numId="21" w16cid:durableId="973754866">
    <w:abstractNumId w:val="3"/>
  </w:num>
  <w:num w:numId="22" w16cid:durableId="674649319">
    <w:abstractNumId w:val="21"/>
  </w:num>
  <w:num w:numId="23" w16cid:durableId="1874272012">
    <w:abstractNumId w:val="17"/>
  </w:num>
  <w:num w:numId="24" w16cid:durableId="1879582215">
    <w:abstractNumId w:val="10"/>
  </w:num>
  <w:num w:numId="25" w16cid:durableId="760298123">
    <w:abstractNumId w:val="22"/>
  </w:num>
  <w:num w:numId="26" w16cid:durableId="1817070301">
    <w:abstractNumId w:val="7"/>
  </w:num>
  <w:num w:numId="27" w16cid:durableId="1339499324">
    <w:abstractNumId w:val="16"/>
  </w:num>
  <w:num w:numId="28" w16cid:durableId="753628210">
    <w:abstractNumId w:val="24"/>
  </w:num>
  <w:num w:numId="29" w16cid:durableId="769857236">
    <w:abstractNumId w:val="1"/>
  </w:num>
  <w:num w:numId="30" w16cid:durableId="101538502">
    <w:abstractNumId w:val="9"/>
  </w:num>
  <w:num w:numId="31" w16cid:durableId="473373553">
    <w:abstractNumId w:val="31"/>
  </w:num>
  <w:num w:numId="32" w16cid:durableId="284970366">
    <w:abstractNumId w:val="5"/>
  </w:num>
  <w:num w:numId="33" w16cid:durableId="876090780">
    <w:abstractNumId w:val="18"/>
  </w:num>
  <w:num w:numId="34" w16cid:durableId="220940952">
    <w:abstractNumId w:val="27"/>
  </w:num>
  <w:num w:numId="35" w16cid:durableId="670916687">
    <w:abstractNumId w:val="6"/>
  </w:num>
  <w:num w:numId="36" w16cid:durableId="975375316">
    <w:abstractNumId w:val="28"/>
  </w:num>
  <w:num w:numId="37" w16cid:durableId="1536891661">
    <w:abstractNumId w:val="11"/>
  </w:num>
  <w:num w:numId="38" w16cid:durableId="2052877467">
    <w:abstractNumId w:val="19"/>
  </w:num>
  <w:num w:numId="39" w16cid:durableId="1991593413">
    <w:abstractNumId w:val="19"/>
  </w:num>
  <w:num w:numId="40" w16cid:durableId="437217969">
    <w:abstractNumId w:val="23"/>
  </w:num>
  <w:num w:numId="41" w16cid:durableId="77290365">
    <w:abstractNumId w:val="12"/>
  </w:num>
  <w:num w:numId="42" w16cid:durableId="527718883">
    <w:abstractNumId w:val="32"/>
  </w:num>
  <w:num w:numId="43" w16cid:durableId="880483205">
    <w:abstractNumId w:val="3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HarmonisationDB-nombres"/>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24690684">
    <w:abstractNumId w:val="3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HarmonisationDB-nombres"/>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884294276">
    <w:abstractNumId w:val="3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HarmonisationDB-nombres"/>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513033416">
    <w:abstractNumId w:val="3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HarmonisationDB-nombres"/>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15"/>
    <w:rsid w:val="00001F25"/>
    <w:rsid w:val="00007C16"/>
    <w:rsid w:val="0001000C"/>
    <w:rsid w:val="000106FD"/>
    <w:rsid w:val="00010E79"/>
    <w:rsid w:val="000143C3"/>
    <w:rsid w:val="00023780"/>
    <w:rsid w:val="000269B6"/>
    <w:rsid w:val="000305D7"/>
    <w:rsid w:val="0003156E"/>
    <w:rsid w:val="00035F83"/>
    <w:rsid w:val="00036134"/>
    <w:rsid w:val="000365F9"/>
    <w:rsid w:val="00042E1E"/>
    <w:rsid w:val="00046FD3"/>
    <w:rsid w:val="00054876"/>
    <w:rsid w:val="00066D85"/>
    <w:rsid w:val="00066DD7"/>
    <w:rsid w:val="00072B8E"/>
    <w:rsid w:val="00073964"/>
    <w:rsid w:val="00073E0A"/>
    <w:rsid w:val="00076125"/>
    <w:rsid w:val="00076D3D"/>
    <w:rsid w:val="000770A7"/>
    <w:rsid w:val="00084501"/>
    <w:rsid w:val="00095FB9"/>
    <w:rsid w:val="00097CB0"/>
    <w:rsid w:val="000A5F80"/>
    <w:rsid w:val="000B26A5"/>
    <w:rsid w:val="000B5BFC"/>
    <w:rsid w:val="000C1D5B"/>
    <w:rsid w:val="000C3987"/>
    <w:rsid w:val="000C4E40"/>
    <w:rsid w:val="000C5C50"/>
    <w:rsid w:val="000D02D7"/>
    <w:rsid w:val="000D18F9"/>
    <w:rsid w:val="000D204E"/>
    <w:rsid w:val="000D2880"/>
    <w:rsid w:val="000D615E"/>
    <w:rsid w:val="000E033C"/>
    <w:rsid w:val="000E4F1A"/>
    <w:rsid w:val="000E67D1"/>
    <w:rsid w:val="0010122F"/>
    <w:rsid w:val="001028EC"/>
    <w:rsid w:val="001051C8"/>
    <w:rsid w:val="00105769"/>
    <w:rsid w:val="0011428D"/>
    <w:rsid w:val="00115DA6"/>
    <w:rsid w:val="00121571"/>
    <w:rsid w:val="00121CAB"/>
    <w:rsid w:val="00123FAE"/>
    <w:rsid w:val="00125997"/>
    <w:rsid w:val="00131DA4"/>
    <w:rsid w:val="00134EC0"/>
    <w:rsid w:val="0013609F"/>
    <w:rsid w:val="00143FDA"/>
    <w:rsid w:val="0014419E"/>
    <w:rsid w:val="0014557D"/>
    <w:rsid w:val="00151741"/>
    <w:rsid w:val="00157337"/>
    <w:rsid w:val="0016018F"/>
    <w:rsid w:val="00160300"/>
    <w:rsid w:val="00160C0B"/>
    <w:rsid w:val="001624B1"/>
    <w:rsid w:val="00173B83"/>
    <w:rsid w:val="001770A4"/>
    <w:rsid w:val="001816BE"/>
    <w:rsid w:val="00186007"/>
    <w:rsid w:val="0019256C"/>
    <w:rsid w:val="001A0EA7"/>
    <w:rsid w:val="001A727C"/>
    <w:rsid w:val="001B187B"/>
    <w:rsid w:val="001B5D05"/>
    <w:rsid w:val="001C34C0"/>
    <w:rsid w:val="001D15CF"/>
    <w:rsid w:val="001D7AB6"/>
    <w:rsid w:val="001E04B1"/>
    <w:rsid w:val="001E1AF1"/>
    <w:rsid w:val="001E23F2"/>
    <w:rsid w:val="001E71AB"/>
    <w:rsid w:val="001E71C9"/>
    <w:rsid w:val="001E72B2"/>
    <w:rsid w:val="001F04EA"/>
    <w:rsid w:val="001F1341"/>
    <w:rsid w:val="001F15E5"/>
    <w:rsid w:val="001F189D"/>
    <w:rsid w:val="001F4769"/>
    <w:rsid w:val="00200589"/>
    <w:rsid w:val="00204CF3"/>
    <w:rsid w:val="0021058D"/>
    <w:rsid w:val="00214437"/>
    <w:rsid w:val="00216630"/>
    <w:rsid w:val="00216EF4"/>
    <w:rsid w:val="00221F4C"/>
    <w:rsid w:val="00222DD4"/>
    <w:rsid w:val="00224193"/>
    <w:rsid w:val="00230961"/>
    <w:rsid w:val="00232971"/>
    <w:rsid w:val="002330B9"/>
    <w:rsid w:val="002337CA"/>
    <w:rsid w:val="00233C08"/>
    <w:rsid w:val="00240F0B"/>
    <w:rsid w:val="0024758F"/>
    <w:rsid w:val="00250555"/>
    <w:rsid w:val="0025088B"/>
    <w:rsid w:val="00251C7F"/>
    <w:rsid w:val="00251F55"/>
    <w:rsid w:val="0025416A"/>
    <w:rsid w:val="00254E8E"/>
    <w:rsid w:val="002601F3"/>
    <w:rsid w:val="00262573"/>
    <w:rsid w:val="00263656"/>
    <w:rsid w:val="00277B11"/>
    <w:rsid w:val="002906DE"/>
    <w:rsid w:val="0029080B"/>
    <w:rsid w:val="00292DCA"/>
    <w:rsid w:val="002A4C6C"/>
    <w:rsid w:val="002B6FB6"/>
    <w:rsid w:val="002C0132"/>
    <w:rsid w:val="002C5E2D"/>
    <w:rsid w:val="002D3C22"/>
    <w:rsid w:val="002D3D0E"/>
    <w:rsid w:val="002D6D5C"/>
    <w:rsid w:val="002E0B07"/>
    <w:rsid w:val="002E1B29"/>
    <w:rsid w:val="002E1CCE"/>
    <w:rsid w:val="002E3956"/>
    <w:rsid w:val="002E4D0D"/>
    <w:rsid w:val="002E7818"/>
    <w:rsid w:val="002F0473"/>
    <w:rsid w:val="002F07E1"/>
    <w:rsid w:val="002F493B"/>
    <w:rsid w:val="00300C1B"/>
    <w:rsid w:val="0030102E"/>
    <w:rsid w:val="0030685F"/>
    <w:rsid w:val="00307CB4"/>
    <w:rsid w:val="00312DF3"/>
    <w:rsid w:val="00317B1B"/>
    <w:rsid w:val="003225A5"/>
    <w:rsid w:val="00322E18"/>
    <w:rsid w:val="00330AEC"/>
    <w:rsid w:val="00334066"/>
    <w:rsid w:val="00336C55"/>
    <w:rsid w:val="00337294"/>
    <w:rsid w:val="003470D5"/>
    <w:rsid w:val="00352C80"/>
    <w:rsid w:val="00352DD3"/>
    <w:rsid w:val="00352F80"/>
    <w:rsid w:val="0035773F"/>
    <w:rsid w:val="00360093"/>
    <w:rsid w:val="00361AFF"/>
    <w:rsid w:val="00363914"/>
    <w:rsid w:val="00364EA3"/>
    <w:rsid w:val="003658E9"/>
    <w:rsid w:val="00370CB8"/>
    <w:rsid w:val="00372220"/>
    <w:rsid w:val="00373A24"/>
    <w:rsid w:val="00373B31"/>
    <w:rsid w:val="00375E76"/>
    <w:rsid w:val="00380A5F"/>
    <w:rsid w:val="0038132C"/>
    <w:rsid w:val="00381718"/>
    <w:rsid w:val="00383574"/>
    <w:rsid w:val="00383A49"/>
    <w:rsid w:val="00391EE3"/>
    <w:rsid w:val="0039627D"/>
    <w:rsid w:val="003974A8"/>
    <w:rsid w:val="003A1806"/>
    <w:rsid w:val="003A3F9A"/>
    <w:rsid w:val="003A4138"/>
    <w:rsid w:val="003A50ED"/>
    <w:rsid w:val="003A5C15"/>
    <w:rsid w:val="003B4344"/>
    <w:rsid w:val="003B4897"/>
    <w:rsid w:val="003B4D35"/>
    <w:rsid w:val="003C3B5F"/>
    <w:rsid w:val="003D7EB5"/>
    <w:rsid w:val="003E107F"/>
    <w:rsid w:val="003F0257"/>
    <w:rsid w:val="003F52E8"/>
    <w:rsid w:val="004053B2"/>
    <w:rsid w:val="00411BFC"/>
    <w:rsid w:val="00413A11"/>
    <w:rsid w:val="0041718F"/>
    <w:rsid w:val="0041786C"/>
    <w:rsid w:val="004179DF"/>
    <w:rsid w:val="004228F7"/>
    <w:rsid w:val="00422BBB"/>
    <w:rsid w:val="0042752F"/>
    <w:rsid w:val="00431AC7"/>
    <w:rsid w:val="00436720"/>
    <w:rsid w:val="004458A9"/>
    <w:rsid w:val="00454335"/>
    <w:rsid w:val="00457A89"/>
    <w:rsid w:val="0046449C"/>
    <w:rsid w:val="00464DB1"/>
    <w:rsid w:val="00470CDB"/>
    <w:rsid w:val="004732C1"/>
    <w:rsid w:val="0047495A"/>
    <w:rsid w:val="00475649"/>
    <w:rsid w:val="004802DC"/>
    <w:rsid w:val="00481031"/>
    <w:rsid w:val="0048317E"/>
    <w:rsid w:val="00490F47"/>
    <w:rsid w:val="00491804"/>
    <w:rsid w:val="00496C47"/>
    <w:rsid w:val="004A4636"/>
    <w:rsid w:val="004B27B3"/>
    <w:rsid w:val="004B2FEB"/>
    <w:rsid w:val="004B569E"/>
    <w:rsid w:val="004B56C0"/>
    <w:rsid w:val="004C04F5"/>
    <w:rsid w:val="004C0645"/>
    <w:rsid w:val="004C0868"/>
    <w:rsid w:val="004C2CBB"/>
    <w:rsid w:val="004C4883"/>
    <w:rsid w:val="004C5FD4"/>
    <w:rsid w:val="004C6910"/>
    <w:rsid w:val="004D246D"/>
    <w:rsid w:val="004D4128"/>
    <w:rsid w:val="004D6BA1"/>
    <w:rsid w:val="004D7BBE"/>
    <w:rsid w:val="004E26B3"/>
    <w:rsid w:val="004E7961"/>
    <w:rsid w:val="004E7E3E"/>
    <w:rsid w:val="004F03E2"/>
    <w:rsid w:val="004F37B8"/>
    <w:rsid w:val="004F3ACE"/>
    <w:rsid w:val="005027C7"/>
    <w:rsid w:val="00503993"/>
    <w:rsid w:val="00505795"/>
    <w:rsid w:val="00507E52"/>
    <w:rsid w:val="005213E5"/>
    <w:rsid w:val="00521545"/>
    <w:rsid w:val="00522B1F"/>
    <w:rsid w:val="00525AF0"/>
    <w:rsid w:val="00530FCF"/>
    <w:rsid w:val="00533E13"/>
    <w:rsid w:val="005420C3"/>
    <w:rsid w:val="00543526"/>
    <w:rsid w:val="005463EF"/>
    <w:rsid w:val="00552BD1"/>
    <w:rsid w:val="005578D5"/>
    <w:rsid w:val="00562DE2"/>
    <w:rsid w:val="00565996"/>
    <w:rsid w:val="005659FD"/>
    <w:rsid w:val="00566D2C"/>
    <w:rsid w:val="00575C4B"/>
    <w:rsid w:val="0058492C"/>
    <w:rsid w:val="0058678C"/>
    <w:rsid w:val="00594CED"/>
    <w:rsid w:val="005959FA"/>
    <w:rsid w:val="005977BA"/>
    <w:rsid w:val="005A0C7B"/>
    <w:rsid w:val="005A27AB"/>
    <w:rsid w:val="005A40E0"/>
    <w:rsid w:val="005A40FB"/>
    <w:rsid w:val="005A43D2"/>
    <w:rsid w:val="005A5B19"/>
    <w:rsid w:val="005A7483"/>
    <w:rsid w:val="005A75B0"/>
    <w:rsid w:val="005B170C"/>
    <w:rsid w:val="005B172D"/>
    <w:rsid w:val="005C0AAB"/>
    <w:rsid w:val="005C5D1A"/>
    <w:rsid w:val="005D368A"/>
    <w:rsid w:val="005D3804"/>
    <w:rsid w:val="005D39FF"/>
    <w:rsid w:val="005E1414"/>
    <w:rsid w:val="005E4990"/>
    <w:rsid w:val="005E5742"/>
    <w:rsid w:val="005E5E84"/>
    <w:rsid w:val="005E629F"/>
    <w:rsid w:val="005E6A13"/>
    <w:rsid w:val="005F2FB7"/>
    <w:rsid w:val="005F3AFC"/>
    <w:rsid w:val="005F7D71"/>
    <w:rsid w:val="00601D4E"/>
    <w:rsid w:val="00603CFC"/>
    <w:rsid w:val="00603FE6"/>
    <w:rsid w:val="00607E9B"/>
    <w:rsid w:val="00612DAF"/>
    <w:rsid w:val="0061482A"/>
    <w:rsid w:val="00615709"/>
    <w:rsid w:val="006229F3"/>
    <w:rsid w:val="00624D96"/>
    <w:rsid w:val="006264C2"/>
    <w:rsid w:val="006305ED"/>
    <w:rsid w:val="006310E0"/>
    <w:rsid w:val="00631B5E"/>
    <w:rsid w:val="0063441A"/>
    <w:rsid w:val="00644D24"/>
    <w:rsid w:val="00653B48"/>
    <w:rsid w:val="00657182"/>
    <w:rsid w:val="00660F27"/>
    <w:rsid w:val="00663076"/>
    <w:rsid w:val="006641BF"/>
    <w:rsid w:val="0066665F"/>
    <w:rsid w:val="00670535"/>
    <w:rsid w:val="00672049"/>
    <w:rsid w:val="00686BCE"/>
    <w:rsid w:val="006951C0"/>
    <w:rsid w:val="006A1F76"/>
    <w:rsid w:val="006A2548"/>
    <w:rsid w:val="006A288C"/>
    <w:rsid w:val="006A4806"/>
    <w:rsid w:val="006A647E"/>
    <w:rsid w:val="006B0C37"/>
    <w:rsid w:val="006B543A"/>
    <w:rsid w:val="006C0E65"/>
    <w:rsid w:val="006C3324"/>
    <w:rsid w:val="006C3D5A"/>
    <w:rsid w:val="006D0272"/>
    <w:rsid w:val="006D3BAE"/>
    <w:rsid w:val="006E4C7F"/>
    <w:rsid w:val="006E5643"/>
    <w:rsid w:val="006E7CD4"/>
    <w:rsid w:val="006F1F6E"/>
    <w:rsid w:val="006F2E49"/>
    <w:rsid w:val="006F430B"/>
    <w:rsid w:val="00707C20"/>
    <w:rsid w:val="00711774"/>
    <w:rsid w:val="00713179"/>
    <w:rsid w:val="00713620"/>
    <w:rsid w:val="007160AE"/>
    <w:rsid w:val="00716A30"/>
    <w:rsid w:val="00721828"/>
    <w:rsid w:val="00724190"/>
    <w:rsid w:val="00724B34"/>
    <w:rsid w:val="007257BD"/>
    <w:rsid w:val="0073080F"/>
    <w:rsid w:val="00732117"/>
    <w:rsid w:val="0074348A"/>
    <w:rsid w:val="0074466F"/>
    <w:rsid w:val="007458D8"/>
    <w:rsid w:val="00746FAA"/>
    <w:rsid w:val="007473B3"/>
    <w:rsid w:val="00750FB4"/>
    <w:rsid w:val="007511AE"/>
    <w:rsid w:val="007544FA"/>
    <w:rsid w:val="00756669"/>
    <w:rsid w:val="00762C4E"/>
    <w:rsid w:val="0076364F"/>
    <w:rsid w:val="00764E66"/>
    <w:rsid w:val="00766341"/>
    <w:rsid w:val="0076752D"/>
    <w:rsid w:val="007731E5"/>
    <w:rsid w:val="00777AE2"/>
    <w:rsid w:val="00780553"/>
    <w:rsid w:val="00781D2C"/>
    <w:rsid w:val="00786072"/>
    <w:rsid w:val="00786D1A"/>
    <w:rsid w:val="00792DC1"/>
    <w:rsid w:val="0079689B"/>
    <w:rsid w:val="007A3B70"/>
    <w:rsid w:val="007A465F"/>
    <w:rsid w:val="007A5C2B"/>
    <w:rsid w:val="007A7852"/>
    <w:rsid w:val="007B76D5"/>
    <w:rsid w:val="007C16F4"/>
    <w:rsid w:val="007D116C"/>
    <w:rsid w:val="007D3851"/>
    <w:rsid w:val="007D763D"/>
    <w:rsid w:val="007E3539"/>
    <w:rsid w:val="007E4970"/>
    <w:rsid w:val="007F1C0E"/>
    <w:rsid w:val="007F30E8"/>
    <w:rsid w:val="007F787F"/>
    <w:rsid w:val="008047A1"/>
    <w:rsid w:val="00807FBA"/>
    <w:rsid w:val="008102F1"/>
    <w:rsid w:val="008121E8"/>
    <w:rsid w:val="0081437C"/>
    <w:rsid w:val="0081549B"/>
    <w:rsid w:val="00816474"/>
    <w:rsid w:val="00817164"/>
    <w:rsid w:val="008245DA"/>
    <w:rsid w:val="00830173"/>
    <w:rsid w:val="00830C6C"/>
    <w:rsid w:val="00832151"/>
    <w:rsid w:val="00832CCC"/>
    <w:rsid w:val="00833B28"/>
    <w:rsid w:val="00841EC2"/>
    <w:rsid w:val="00842D6B"/>
    <w:rsid w:val="008438F8"/>
    <w:rsid w:val="00844916"/>
    <w:rsid w:val="00845F95"/>
    <w:rsid w:val="0085149E"/>
    <w:rsid w:val="00852792"/>
    <w:rsid w:val="00862CE2"/>
    <w:rsid w:val="0086301B"/>
    <w:rsid w:val="008655FA"/>
    <w:rsid w:val="00865E43"/>
    <w:rsid w:val="00865F7B"/>
    <w:rsid w:val="0087060A"/>
    <w:rsid w:val="008738C1"/>
    <w:rsid w:val="0087572A"/>
    <w:rsid w:val="00875A39"/>
    <w:rsid w:val="008762E8"/>
    <w:rsid w:val="00881A43"/>
    <w:rsid w:val="00890D9D"/>
    <w:rsid w:val="0089256A"/>
    <w:rsid w:val="00892F10"/>
    <w:rsid w:val="00896AF7"/>
    <w:rsid w:val="008B3449"/>
    <w:rsid w:val="008B4030"/>
    <w:rsid w:val="008B4418"/>
    <w:rsid w:val="008B5E4C"/>
    <w:rsid w:val="008C5058"/>
    <w:rsid w:val="008C58BD"/>
    <w:rsid w:val="008D5D86"/>
    <w:rsid w:val="008E0C51"/>
    <w:rsid w:val="008E1D89"/>
    <w:rsid w:val="008E4322"/>
    <w:rsid w:val="009045BB"/>
    <w:rsid w:val="00906CCA"/>
    <w:rsid w:val="009073C6"/>
    <w:rsid w:val="009154A4"/>
    <w:rsid w:val="00923F34"/>
    <w:rsid w:val="00930209"/>
    <w:rsid w:val="00930C62"/>
    <w:rsid w:val="00936FF4"/>
    <w:rsid w:val="00940AC7"/>
    <w:rsid w:val="0094186A"/>
    <w:rsid w:val="009435D6"/>
    <w:rsid w:val="00950FD5"/>
    <w:rsid w:val="00953476"/>
    <w:rsid w:val="00955986"/>
    <w:rsid w:val="00962898"/>
    <w:rsid w:val="00965EE0"/>
    <w:rsid w:val="00967661"/>
    <w:rsid w:val="00974849"/>
    <w:rsid w:val="0097493C"/>
    <w:rsid w:val="00975BCF"/>
    <w:rsid w:val="009804FD"/>
    <w:rsid w:val="009822EF"/>
    <w:rsid w:val="00983737"/>
    <w:rsid w:val="00984F59"/>
    <w:rsid w:val="00985D16"/>
    <w:rsid w:val="00987CB6"/>
    <w:rsid w:val="009A107D"/>
    <w:rsid w:val="009A6850"/>
    <w:rsid w:val="009A7EE6"/>
    <w:rsid w:val="009B0ECC"/>
    <w:rsid w:val="009B253C"/>
    <w:rsid w:val="009B3532"/>
    <w:rsid w:val="009C143B"/>
    <w:rsid w:val="009C186E"/>
    <w:rsid w:val="009D1A99"/>
    <w:rsid w:val="009D4307"/>
    <w:rsid w:val="009D4A0A"/>
    <w:rsid w:val="009D7AF5"/>
    <w:rsid w:val="009E2EA5"/>
    <w:rsid w:val="009E3EC2"/>
    <w:rsid w:val="009F141E"/>
    <w:rsid w:val="009F3CDA"/>
    <w:rsid w:val="00A016E1"/>
    <w:rsid w:val="00A01FE4"/>
    <w:rsid w:val="00A03101"/>
    <w:rsid w:val="00A03229"/>
    <w:rsid w:val="00A05770"/>
    <w:rsid w:val="00A11167"/>
    <w:rsid w:val="00A22628"/>
    <w:rsid w:val="00A235C8"/>
    <w:rsid w:val="00A23C74"/>
    <w:rsid w:val="00A3127B"/>
    <w:rsid w:val="00A333A5"/>
    <w:rsid w:val="00A34E67"/>
    <w:rsid w:val="00A3642D"/>
    <w:rsid w:val="00A43B9B"/>
    <w:rsid w:val="00A50725"/>
    <w:rsid w:val="00A5598B"/>
    <w:rsid w:val="00A574AA"/>
    <w:rsid w:val="00A62864"/>
    <w:rsid w:val="00A63511"/>
    <w:rsid w:val="00A675E6"/>
    <w:rsid w:val="00A80B1B"/>
    <w:rsid w:val="00A81C98"/>
    <w:rsid w:val="00A81FE9"/>
    <w:rsid w:val="00A834E5"/>
    <w:rsid w:val="00A92CBE"/>
    <w:rsid w:val="00A951C0"/>
    <w:rsid w:val="00A953BB"/>
    <w:rsid w:val="00A954E8"/>
    <w:rsid w:val="00A97FEB"/>
    <w:rsid w:val="00AA28D7"/>
    <w:rsid w:val="00AA5CF7"/>
    <w:rsid w:val="00AB6AA1"/>
    <w:rsid w:val="00AB6E6D"/>
    <w:rsid w:val="00AC005A"/>
    <w:rsid w:val="00AC3FBD"/>
    <w:rsid w:val="00AC460E"/>
    <w:rsid w:val="00AC4D29"/>
    <w:rsid w:val="00AC53D2"/>
    <w:rsid w:val="00AC6117"/>
    <w:rsid w:val="00AD00AF"/>
    <w:rsid w:val="00AD6DA7"/>
    <w:rsid w:val="00AE205E"/>
    <w:rsid w:val="00AE279E"/>
    <w:rsid w:val="00AE474B"/>
    <w:rsid w:val="00AE592F"/>
    <w:rsid w:val="00AF0E32"/>
    <w:rsid w:val="00AF2BC3"/>
    <w:rsid w:val="00AF4A85"/>
    <w:rsid w:val="00B03010"/>
    <w:rsid w:val="00B03E0B"/>
    <w:rsid w:val="00B0532E"/>
    <w:rsid w:val="00B264F4"/>
    <w:rsid w:val="00B26A82"/>
    <w:rsid w:val="00B30E43"/>
    <w:rsid w:val="00B32861"/>
    <w:rsid w:val="00B412C0"/>
    <w:rsid w:val="00B42097"/>
    <w:rsid w:val="00B43F41"/>
    <w:rsid w:val="00B53F40"/>
    <w:rsid w:val="00B556AA"/>
    <w:rsid w:val="00B5642A"/>
    <w:rsid w:val="00B57FA3"/>
    <w:rsid w:val="00B6604E"/>
    <w:rsid w:val="00B672BC"/>
    <w:rsid w:val="00B678EB"/>
    <w:rsid w:val="00B76C76"/>
    <w:rsid w:val="00B82CC3"/>
    <w:rsid w:val="00B9066D"/>
    <w:rsid w:val="00B9423F"/>
    <w:rsid w:val="00B9501B"/>
    <w:rsid w:val="00BA15A9"/>
    <w:rsid w:val="00BB6894"/>
    <w:rsid w:val="00BB7A2D"/>
    <w:rsid w:val="00BC1309"/>
    <w:rsid w:val="00BC37EC"/>
    <w:rsid w:val="00BC3E08"/>
    <w:rsid w:val="00BC42F5"/>
    <w:rsid w:val="00BC446A"/>
    <w:rsid w:val="00BC4BCE"/>
    <w:rsid w:val="00BD6B53"/>
    <w:rsid w:val="00BE12BE"/>
    <w:rsid w:val="00BE36C9"/>
    <w:rsid w:val="00BE461D"/>
    <w:rsid w:val="00BE509C"/>
    <w:rsid w:val="00BF4675"/>
    <w:rsid w:val="00C047DD"/>
    <w:rsid w:val="00C05251"/>
    <w:rsid w:val="00C071B3"/>
    <w:rsid w:val="00C07FD4"/>
    <w:rsid w:val="00C1358C"/>
    <w:rsid w:val="00C13945"/>
    <w:rsid w:val="00C2223E"/>
    <w:rsid w:val="00C229E5"/>
    <w:rsid w:val="00C2699A"/>
    <w:rsid w:val="00C33204"/>
    <w:rsid w:val="00C360ED"/>
    <w:rsid w:val="00C366A1"/>
    <w:rsid w:val="00C47602"/>
    <w:rsid w:val="00C51D3E"/>
    <w:rsid w:val="00C549D8"/>
    <w:rsid w:val="00C55EAB"/>
    <w:rsid w:val="00C56BBC"/>
    <w:rsid w:val="00C57172"/>
    <w:rsid w:val="00C637CE"/>
    <w:rsid w:val="00C645C2"/>
    <w:rsid w:val="00C657AE"/>
    <w:rsid w:val="00C7272D"/>
    <w:rsid w:val="00C74EDF"/>
    <w:rsid w:val="00C75249"/>
    <w:rsid w:val="00C756D7"/>
    <w:rsid w:val="00C75AD2"/>
    <w:rsid w:val="00C76390"/>
    <w:rsid w:val="00C76F19"/>
    <w:rsid w:val="00C80058"/>
    <w:rsid w:val="00C8113E"/>
    <w:rsid w:val="00C8465B"/>
    <w:rsid w:val="00C868A0"/>
    <w:rsid w:val="00C86B94"/>
    <w:rsid w:val="00C927D3"/>
    <w:rsid w:val="00C929EA"/>
    <w:rsid w:val="00C9380E"/>
    <w:rsid w:val="00C9519F"/>
    <w:rsid w:val="00CA052B"/>
    <w:rsid w:val="00CA59DC"/>
    <w:rsid w:val="00CB1495"/>
    <w:rsid w:val="00CB5045"/>
    <w:rsid w:val="00CB540C"/>
    <w:rsid w:val="00CC2139"/>
    <w:rsid w:val="00CC58AD"/>
    <w:rsid w:val="00CC6E8E"/>
    <w:rsid w:val="00CC7ABE"/>
    <w:rsid w:val="00CD06C8"/>
    <w:rsid w:val="00CD154F"/>
    <w:rsid w:val="00CD205E"/>
    <w:rsid w:val="00CE2CAA"/>
    <w:rsid w:val="00CF0323"/>
    <w:rsid w:val="00CF24B4"/>
    <w:rsid w:val="00CF3E79"/>
    <w:rsid w:val="00D00AE6"/>
    <w:rsid w:val="00D00FF5"/>
    <w:rsid w:val="00D01094"/>
    <w:rsid w:val="00D02BDD"/>
    <w:rsid w:val="00D0597F"/>
    <w:rsid w:val="00D05F50"/>
    <w:rsid w:val="00D13F5A"/>
    <w:rsid w:val="00D217E6"/>
    <w:rsid w:val="00D27B93"/>
    <w:rsid w:val="00D3060A"/>
    <w:rsid w:val="00D34929"/>
    <w:rsid w:val="00D420DC"/>
    <w:rsid w:val="00D555E4"/>
    <w:rsid w:val="00D5662B"/>
    <w:rsid w:val="00D566FF"/>
    <w:rsid w:val="00D708B3"/>
    <w:rsid w:val="00D71BFB"/>
    <w:rsid w:val="00D7259C"/>
    <w:rsid w:val="00D74A60"/>
    <w:rsid w:val="00D82192"/>
    <w:rsid w:val="00D87328"/>
    <w:rsid w:val="00D90116"/>
    <w:rsid w:val="00D94E10"/>
    <w:rsid w:val="00D96DBC"/>
    <w:rsid w:val="00D96E74"/>
    <w:rsid w:val="00DA2F1B"/>
    <w:rsid w:val="00DA330B"/>
    <w:rsid w:val="00DA347B"/>
    <w:rsid w:val="00DA60EF"/>
    <w:rsid w:val="00DA71E4"/>
    <w:rsid w:val="00DB67F2"/>
    <w:rsid w:val="00DC2109"/>
    <w:rsid w:val="00DC29E2"/>
    <w:rsid w:val="00DC33FD"/>
    <w:rsid w:val="00DC724B"/>
    <w:rsid w:val="00DD26F9"/>
    <w:rsid w:val="00DD58B5"/>
    <w:rsid w:val="00DD5F83"/>
    <w:rsid w:val="00DD62E7"/>
    <w:rsid w:val="00DD644C"/>
    <w:rsid w:val="00DE056B"/>
    <w:rsid w:val="00DE2DDC"/>
    <w:rsid w:val="00DE40EF"/>
    <w:rsid w:val="00DE55C2"/>
    <w:rsid w:val="00DE60EB"/>
    <w:rsid w:val="00DE74E7"/>
    <w:rsid w:val="00DF26D0"/>
    <w:rsid w:val="00DF34BD"/>
    <w:rsid w:val="00DF6075"/>
    <w:rsid w:val="00DF6CCA"/>
    <w:rsid w:val="00E00495"/>
    <w:rsid w:val="00E1798B"/>
    <w:rsid w:val="00E2663A"/>
    <w:rsid w:val="00E30EA1"/>
    <w:rsid w:val="00E32F84"/>
    <w:rsid w:val="00E33860"/>
    <w:rsid w:val="00E346D0"/>
    <w:rsid w:val="00E3781B"/>
    <w:rsid w:val="00E43705"/>
    <w:rsid w:val="00E44CBC"/>
    <w:rsid w:val="00E44EF8"/>
    <w:rsid w:val="00E543C3"/>
    <w:rsid w:val="00E55012"/>
    <w:rsid w:val="00E60DC7"/>
    <w:rsid w:val="00E674C8"/>
    <w:rsid w:val="00E67898"/>
    <w:rsid w:val="00E70935"/>
    <w:rsid w:val="00E725BC"/>
    <w:rsid w:val="00E73B02"/>
    <w:rsid w:val="00E80124"/>
    <w:rsid w:val="00E84E07"/>
    <w:rsid w:val="00E8671E"/>
    <w:rsid w:val="00E86DBD"/>
    <w:rsid w:val="00E93369"/>
    <w:rsid w:val="00E94FE9"/>
    <w:rsid w:val="00E96C1A"/>
    <w:rsid w:val="00E97504"/>
    <w:rsid w:val="00EA1A5D"/>
    <w:rsid w:val="00EA3505"/>
    <w:rsid w:val="00EA5532"/>
    <w:rsid w:val="00EA5A8F"/>
    <w:rsid w:val="00EB120F"/>
    <w:rsid w:val="00EB33B6"/>
    <w:rsid w:val="00EC1437"/>
    <w:rsid w:val="00EC4E43"/>
    <w:rsid w:val="00ED5E66"/>
    <w:rsid w:val="00EE112C"/>
    <w:rsid w:val="00EE2806"/>
    <w:rsid w:val="00EE592E"/>
    <w:rsid w:val="00EE7469"/>
    <w:rsid w:val="00EF1CCF"/>
    <w:rsid w:val="00EF4119"/>
    <w:rsid w:val="00EF41C7"/>
    <w:rsid w:val="00EF55F5"/>
    <w:rsid w:val="00F05053"/>
    <w:rsid w:val="00F11213"/>
    <w:rsid w:val="00F15D58"/>
    <w:rsid w:val="00F225DA"/>
    <w:rsid w:val="00F23A48"/>
    <w:rsid w:val="00F2617E"/>
    <w:rsid w:val="00F300D9"/>
    <w:rsid w:val="00F32C97"/>
    <w:rsid w:val="00F32D63"/>
    <w:rsid w:val="00F3578F"/>
    <w:rsid w:val="00F44949"/>
    <w:rsid w:val="00F523F2"/>
    <w:rsid w:val="00F565B4"/>
    <w:rsid w:val="00F56B8F"/>
    <w:rsid w:val="00F60E18"/>
    <w:rsid w:val="00F64D67"/>
    <w:rsid w:val="00F702E4"/>
    <w:rsid w:val="00F73391"/>
    <w:rsid w:val="00F755CD"/>
    <w:rsid w:val="00F806ED"/>
    <w:rsid w:val="00F82A6C"/>
    <w:rsid w:val="00F83587"/>
    <w:rsid w:val="00F83F0A"/>
    <w:rsid w:val="00F85668"/>
    <w:rsid w:val="00F9395F"/>
    <w:rsid w:val="00F95996"/>
    <w:rsid w:val="00F966AB"/>
    <w:rsid w:val="00FA7601"/>
    <w:rsid w:val="00FB3A7C"/>
    <w:rsid w:val="00FB5B93"/>
    <w:rsid w:val="00FB6A88"/>
    <w:rsid w:val="00FC4F10"/>
    <w:rsid w:val="00FC5D66"/>
    <w:rsid w:val="00FD0CF4"/>
    <w:rsid w:val="00FD3282"/>
    <w:rsid w:val="00FE00BC"/>
    <w:rsid w:val="00FE1AF5"/>
    <w:rsid w:val="00FF3177"/>
    <w:rsid w:val="00FF5E50"/>
    <w:rsid w:val="00FF6920"/>
    <w:rsid w:val="00FF74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1D58"/>
  <w15:chartTrackingRefBased/>
  <w15:docId w15:val="{3D05ADF4-71AC-417E-BF72-461E56F2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9B"/>
    <w:rPr>
      <w:rFonts w:ascii="Arial" w:hAnsi="Arial" w:cs="Arial"/>
      <w:sz w:val="24"/>
      <w:szCs w:val="24"/>
    </w:rPr>
  </w:style>
  <w:style w:type="paragraph" w:styleId="Titre1">
    <w:name w:val="heading 1"/>
    <w:basedOn w:val="Normal"/>
    <w:next w:val="Normal"/>
    <w:link w:val="Titre1Car"/>
    <w:qFormat/>
    <w:rsid w:val="001E0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1E0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1E04B1"/>
    <w:pPr>
      <w:keepNext/>
      <w:keepLines/>
      <w:spacing w:before="40" w:after="0"/>
      <w:outlineLvl w:val="2"/>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qFormat/>
    <w:rsid w:val="001F15E5"/>
    <w:pPr>
      <w:keepNext/>
      <w:tabs>
        <w:tab w:val="left" w:pos="5760"/>
        <w:tab w:val="right" w:pos="10440"/>
      </w:tabs>
      <w:spacing w:before="60" w:after="0" w:line="240" w:lineRule="auto"/>
      <w:jc w:val="both"/>
      <w:outlineLvl w:val="6"/>
    </w:pPr>
    <w:rPr>
      <w:rFonts w:ascii="Lucida Sans Unicode" w:eastAsia="Times New Roman" w:hAnsi="Lucida Sans Unicode" w:cs="Lucida Sans Unicode"/>
      <w:lang w:eastAsia="fr-FR"/>
    </w:rPr>
  </w:style>
  <w:style w:type="paragraph" w:styleId="Titre9">
    <w:name w:val="heading 9"/>
    <w:basedOn w:val="Normal"/>
    <w:next w:val="Normal"/>
    <w:link w:val="Titre9Car"/>
    <w:qFormat/>
    <w:rsid w:val="001F15E5"/>
    <w:pPr>
      <w:keepNext/>
      <w:tabs>
        <w:tab w:val="right" w:pos="10440"/>
      </w:tabs>
      <w:spacing w:before="60" w:after="0" w:line="240" w:lineRule="auto"/>
      <w:ind w:left="4956"/>
      <w:jc w:val="both"/>
      <w:outlineLvl w:val="8"/>
    </w:pPr>
    <w:rPr>
      <w:rFonts w:ascii="Times New Roman" w:eastAsia="Times New Roman" w:hAnsi="Times New Roman" w:cs="Times New Roman"/>
      <w:b/>
      <w:bCs/>
      <w:caps/>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claire">
    <w:name w:val="Grid Table Light"/>
    <w:basedOn w:val="Tableauweb2"/>
    <w:uiPriority w:val="40"/>
    <w:rsid w:val="00A81C98"/>
    <w:pPr>
      <w:spacing w:after="0" w:line="240" w:lineRule="auto"/>
    </w:pPr>
    <w:rPr>
      <w:rFonts w:ascii="Arial" w:hAnsi="Arial"/>
      <w:sz w:val="20"/>
      <w:szCs w:val="20"/>
      <w:lang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81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web2"/>
    <w:rsid w:val="0066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uiPriority w:val="99"/>
    <w:semiHidden/>
    <w:unhideWhenUsed/>
    <w:rsid w:val="00987CB6"/>
    <w:pPr>
      <w:framePr w:w="7938" w:h="1985" w:hRule="exact" w:hSpace="141" w:wrap="auto" w:hAnchor="page" w:xAlign="center" w:yAlign="bottom"/>
      <w:spacing w:after="0" w:line="240" w:lineRule="auto"/>
      <w:ind w:left="2835"/>
    </w:pPr>
    <w:rPr>
      <w:rFonts w:eastAsiaTheme="majorEastAsia" w:cstheme="majorBidi"/>
      <w:sz w:val="22"/>
    </w:rPr>
  </w:style>
  <w:style w:type="paragraph" w:styleId="Adresseexpditeur">
    <w:name w:val="envelope return"/>
    <w:basedOn w:val="Normal"/>
    <w:uiPriority w:val="99"/>
    <w:semiHidden/>
    <w:unhideWhenUsed/>
    <w:rsid w:val="00987CB6"/>
    <w:pPr>
      <w:spacing w:after="0" w:line="240" w:lineRule="auto"/>
    </w:pPr>
    <w:rPr>
      <w:rFonts w:eastAsiaTheme="majorEastAsia" w:cstheme="majorBidi"/>
      <w:sz w:val="16"/>
      <w:szCs w:val="20"/>
    </w:rPr>
  </w:style>
  <w:style w:type="paragraph" w:customStyle="1" w:styleId="Style1">
    <w:name w:val="Style1"/>
    <w:basedOn w:val="Normal"/>
    <w:link w:val="Style1Car"/>
    <w:qFormat/>
    <w:rsid w:val="00373A24"/>
    <w:pPr>
      <w:keepNext/>
      <w:keepLines/>
      <w:pBdr>
        <w:top w:val="nil"/>
        <w:left w:val="nil"/>
        <w:bottom w:val="nil"/>
        <w:right w:val="nil"/>
        <w:between w:val="nil"/>
        <w:bar w:val="nil"/>
      </w:pBdr>
      <w:tabs>
        <w:tab w:val="left" w:pos="57"/>
      </w:tabs>
      <w:spacing w:after="240" w:line="240" w:lineRule="auto"/>
      <w:jc w:val="both"/>
      <w:outlineLvl w:val="0"/>
    </w:pPr>
    <w:rPr>
      <w:rFonts w:eastAsia="Calibri"/>
      <w:b/>
      <w:color w:val="000000"/>
      <w:u w:color="000000"/>
      <w:bdr w:val="nil"/>
      <w:lang w:eastAsia="fr-CA"/>
    </w:rPr>
  </w:style>
  <w:style w:type="paragraph" w:customStyle="1" w:styleId="Style2">
    <w:name w:val="Style2"/>
    <w:basedOn w:val="Style1"/>
    <w:link w:val="Style2Car"/>
    <w:qFormat/>
    <w:rsid w:val="00373A24"/>
  </w:style>
  <w:style w:type="character" w:customStyle="1" w:styleId="Style1Car">
    <w:name w:val="Style1 Car"/>
    <w:basedOn w:val="Policepardfaut"/>
    <w:link w:val="Style1"/>
    <w:rsid w:val="00373A24"/>
    <w:rPr>
      <w:rFonts w:ascii="Arial" w:eastAsia="Calibri" w:hAnsi="Arial" w:cs="Arial"/>
      <w:b/>
      <w:color w:val="000000"/>
      <w:sz w:val="24"/>
      <w:szCs w:val="24"/>
      <w:u w:color="000000"/>
      <w:bdr w:val="nil"/>
      <w:lang w:eastAsia="fr-CA"/>
    </w:rPr>
  </w:style>
  <w:style w:type="character" w:customStyle="1" w:styleId="Style2Car">
    <w:name w:val="Style2 Car"/>
    <w:basedOn w:val="Style1Car"/>
    <w:link w:val="Style2"/>
    <w:rsid w:val="00373A24"/>
    <w:rPr>
      <w:rFonts w:ascii="Arial" w:eastAsia="Calibri" w:hAnsi="Arial" w:cs="Arial"/>
      <w:b/>
      <w:color w:val="000000"/>
      <w:sz w:val="24"/>
      <w:szCs w:val="24"/>
      <w:u w:color="000000"/>
      <w:bdr w:val="nil"/>
      <w:lang w:eastAsia="fr-CA"/>
    </w:rPr>
  </w:style>
  <w:style w:type="character" w:customStyle="1" w:styleId="Aucun">
    <w:name w:val="Aucun"/>
    <w:rsid w:val="00ED5E66"/>
    <w:rPr>
      <w:lang w:val="en-US"/>
    </w:rPr>
  </w:style>
  <w:style w:type="paragraph" w:customStyle="1" w:styleId="Harmonisation-titre1">
    <w:name w:val="Harmonisation - titre 1"/>
    <w:basedOn w:val="Style1"/>
    <w:link w:val="Harmonisation-titre1Car"/>
    <w:qFormat/>
    <w:rsid w:val="00ED5E66"/>
  </w:style>
  <w:style w:type="paragraph" w:customStyle="1" w:styleId="Style3-sous-titres">
    <w:name w:val="Style 3 - sous-titres"/>
    <w:basedOn w:val="TM1"/>
    <w:link w:val="Style3-sous-titresCar"/>
    <w:qFormat/>
    <w:rsid w:val="00ED5E66"/>
    <w:pPr>
      <w:keepNext/>
      <w:keepLines/>
      <w:pBdr>
        <w:top w:val="nil"/>
        <w:left w:val="nil"/>
        <w:bottom w:val="nil"/>
        <w:right w:val="nil"/>
        <w:between w:val="nil"/>
        <w:bar w:val="nil"/>
      </w:pBdr>
      <w:spacing w:after="200"/>
      <w:jc w:val="both"/>
      <w:outlineLvl w:val="1"/>
    </w:pPr>
    <w:rPr>
      <w:rFonts w:ascii="Arial Gras" w:eastAsia="Arial" w:hAnsi="Arial Gras"/>
      <w:b w:val="0"/>
      <w:bCs w:val="0"/>
      <w:bdr w:val="nil"/>
    </w:rPr>
  </w:style>
  <w:style w:type="character" w:customStyle="1" w:styleId="Harmonisation-titre1Car">
    <w:name w:val="Harmonisation - titre 1 Car"/>
    <w:basedOn w:val="Style1Car"/>
    <w:link w:val="Harmonisation-titre1"/>
    <w:rsid w:val="00ED5E66"/>
    <w:rPr>
      <w:rFonts w:ascii="Arial" w:eastAsia="Calibri" w:hAnsi="Arial" w:cs="Arial"/>
      <w:b/>
      <w:color w:val="000000"/>
      <w:sz w:val="24"/>
      <w:szCs w:val="24"/>
      <w:u w:color="000000"/>
      <w:bdr w:val="nil"/>
      <w:lang w:eastAsia="fr-CA"/>
    </w:rPr>
  </w:style>
  <w:style w:type="character" w:customStyle="1" w:styleId="Style3-sous-titresCar">
    <w:name w:val="Style 3 - sous-titres Car"/>
    <w:basedOn w:val="Policepardfaut"/>
    <w:link w:val="Style3-sous-titres"/>
    <w:rsid w:val="00ED5E66"/>
    <w:rPr>
      <w:rFonts w:ascii="Arial Gras" w:eastAsia="Arial" w:hAnsi="Arial Gras" w:cs="Arial"/>
      <w:b/>
      <w:bCs/>
      <w:sz w:val="24"/>
      <w:szCs w:val="20"/>
      <w:bdr w:val="nil"/>
    </w:rPr>
  </w:style>
  <w:style w:type="paragraph" w:styleId="TM1">
    <w:name w:val="toc 1"/>
    <w:basedOn w:val="Normal"/>
    <w:next w:val="Normal"/>
    <w:autoRedefine/>
    <w:uiPriority w:val="39"/>
    <w:unhideWhenUsed/>
    <w:rsid w:val="00073E0A"/>
    <w:pPr>
      <w:spacing w:before="240" w:after="120" w:line="240" w:lineRule="auto"/>
      <w:jc w:val="center"/>
    </w:pPr>
    <w:rPr>
      <w:b/>
      <w:bCs/>
      <w:caps/>
      <w:szCs w:val="20"/>
    </w:rPr>
  </w:style>
  <w:style w:type="paragraph" w:customStyle="1" w:styleId="Harmonisation-titre2">
    <w:name w:val="Harmonisation - titre 2"/>
    <w:basedOn w:val="Style3-sous-titres"/>
    <w:link w:val="Harmonisation-titre2Car"/>
    <w:autoRedefine/>
    <w:qFormat/>
    <w:rsid w:val="00953476"/>
    <w:rPr>
      <w:caps w:val="0"/>
    </w:rPr>
  </w:style>
  <w:style w:type="numbering" w:customStyle="1" w:styleId="Nombres">
    <w:name w:val="Nombres"/>
    <w:rsid w:val="00ED5E66"/>
    <w:pPr>
      <w:numPr>
        <w:numId w:val="1"/>
      </w:numPr>
    </w:pPr>
  </w:style>
  <w:style w:type="character" w:customStyle="1" w:styleId="Harmonisation-titre2Car">
    <w:name w:val="Harmonisation - titre 2 Car"/>
    <w:basedOn w:val="Style3-sous-titresCar"/>
    <w:link w:val="Harmonisation-titre2"/>
    <w:rsid w:val="00953476"/>
    <w:rPr>
      <w:rFonts w:ascii="Arial Gras" w:eastAsia="Arial" w:hAnsi="Arial Gras" w:cs="Arial"/>
      <w:b w:val="0"/>
      <w:bCs w:val="0"/>
      <w:sz w:val="24"/>
      <w:szCs w:val="20"/>
      <w:bdr w:val="nil"/>
    </w:rPr>
  </w:style>
  <w:style w:type="paragraph" w:customStyle="1" w:styleId="paragraphenumrot">
    <w:name w:val="paragraphe numéroté"/>
    <w:basedOn w:val="Normal"/>
    <w:link w:val="paragraphenumrotCar"/>
    <w:qFormat/>
    <w:rsid w:val="00ED5E66"/>
    <w:pPr>
      <w:widowControl w:val="0"/>
      <w:numPr>
        <w:numId w:val="2"/>
      </w:numPr>
      <w:pBdr>
        <w:top w:val="nil"/>
        <w:left w:val="nil"/>
        <w:bottom w:val="nil"/>
        <w:right w:val="nil"/>
        <w:between w:val="nil"/>
        <w:bar w:val="nil"/>
      </w:pBdr>
      <w:spacing w:after="240" w:line="240" w:lineRule="auto"/>
      <w:jc w:val="both"/>
    </w:pPr>
    <w:rPr>
      <w:rFonts w:eastAsia="Arial"/>
      <w:color w:val="000000"/>
      <w:u w:color="000000"/>
      <w:bdr w:val="nil"/>
      <w:lang w:eastAsia="fr-CA"/>
    </w:rPr>
  </w:style>
  <w:style w:type="character" w:customStyle="1" w:styleId="paragraphenumrotCar">
    <w:name w:val="paragraphe numéroté Car"/>
    <w:basedOn w:val="Policepardfaut"/>
    <w:link w:val="paragraphenumrot"/>
    <w:rsid w:val="00ED5E66"/>
    <w:rPr>
      <w:rFonts w:ascii="Arial" w:eastAsia="Arial" w:hAnsi="Arial" w:cs="Arial"/>
      <w:color w:val="000000"/>
      <w:sz w:val="24"/>
      <w:szCs w:val="24"/>
      <w:u w:color="000000"/>
      <w:bdr w:val="nil"/>
      <w:lang w:eastAsia="fr-CA"/>
    </w:rPr>
  </w:style>
  <w:style w:type="paragraph" w:customStyle="1" w:styleId="Harmonisation-paragraphe">
    <w:name w:val="Harmonisation - paragraphe"/>
    <w:basedOn w:val="paragraphenumrot"/>
    <w:link w:val="Harmonisation-paragrapheCar"/>
    <w:qFormat/>
    <w:rsid w:val="005977BA"/>
    <w:pPr>
      <w:widowControl/>
      <w:ind w:left="709" w:hanging="709"/>
    </w:pPr>
  </w:style>
  <w:style w:type="paragraph" w:customStyle="1" w:styleId="sousparagraphea">
    <w:name w:val="sous paragraphe a)"/>
    <w:aliases w:val="b),c)"/>
    <w:basedOn w:val="Normal"/>
    <w:rsid w:val="005F7D71"/>
    <w:pPr>
      <w:numPr>
        <w:numId w:val="3"/>
      </w:numPr>
      <w:pBdr>
        <w:top w:val="nil"/>
        <w:left w:val="nil"/>
        <w:bottom w:val="nil"/>
        <w:right w:val="nil"/>
        <w:between w:val="nil"/>
        <w:bar w:val="nil"/>
      </w:pBdr>
      <w:spacing w:after="240" w:line="240" w:lineRule="auto"/>
      <w:ind w:left="720"/>
      <w:jc w:val="both"/>
    </w:pPr>
    <w:rPr>
      <w:rFonts w:eastAsia="Arial Unicode MS" w:cs="Times New Roman"/>
      <w:bdr w:val="nil"/>
    </w:rPr>
  </w:style>
  <w:style w:type="character" w:customStyle="1" w:styleId="Harmonisation-paragrapheCar">
    <w:name w:val="Harmonisation - paragraphe Car"/>
    <w:basedOn w:val="paragraphenumrotCar"/>
    <w:link w:val="Harmonisation-paragraphe"/>
    <w:rsid w:val="005977BA"/>
    <w:rPr>
      <w:rFonts w:ascii="Arial" w:eastAsia="Arial" w:hAnsi="Arial" w:cs="Arial"/>
      <w:color w:val="000000"/>
      <w:sz w:val="24"/>
      <w:szCs w:val="24"/>
      <w:u w:color="000000"/>
      <w:bdr w:val="nil"/>
      <w:lang w:eastAsia="fr-CA"/>
    </w:rPr>
  </w:style>
  <w:style w:type="paragraph" w:styleId="Paragraphedeliste">
    <w:name w:val="List Paragraph"/>
    <w:basedOn w:val="Normal"/>
    <w:link w:val="ParagraphedelisteCar"/>
    <w:qFormat/>
    <w:rsid w:val="00525AF0"/>
    <w:pPr>
      <w:ind w:left="720"/>
      <w:contextualSpacing/>
    </w:pPr>
  </w:style>
  <w:style w:type="paragraph" w:customStyle="1" w:styleId="Harmonisation-a">
    <w:name w:val="Harmonisation - a)"/>
    <w:basedOn w:val="sousparagraphea"/>
    <w:link w:val="Harmonisation-aCar"/>
    <w:qFormat/>
    <w:rsid w:val="00B42097"/>
    <w:pPr>
      <w:numPr>
        <w:numId w:val="4"/>
      </w:numPr>
    </w:pPr>
  </w:style>
  <w:style w:type="paragraph" w:customStyle="1" w:styleId="Harmonisation-tiret">
    <w:name w:val="Harmonisation - tiret"/>
    <w:basedOn w:val="Paragraphedeliste"/>
    <w:link w:val="Harmonisation-tiretCar"/>
    <w:qFormat/>
    <w:rsid w:val="00007C16"/>
    <w:pPr>
      <w:numPr>
        <w:numId w:val="5"/>
      </w:numPr>
      <w:spacing w:after="240" w:line="240" w:lineRule="auto"/>
      <w:contextualSpacing w:val="0"/>
      <w:jc w:val="both"/>
    </w:pPr>
  </w:style>
  <w:style w:type="character" w:customStyle="1" w:styleId="ParagraphedelisteCar">
    <w:name w:val="Paragraphe de liste Car"/>
    <w:basedOn w:val="Policepardfaut"/>
    <w:link w:val="Paragraphedeliste"/>
    <w:uiPriority w:val="34"/>
    <w:rsid w:val="00525AF0"/>
    <w:rPr>
      <w:rFonts w:ascii="Arial" w:hAnsi="Arial" w:cs="Arial"/>
      <w:sz w:val="24"/>
      <w:szCs w:val="24"/>
    </w:rPr>
  </w:style>
  <w:style w:type="character" w:customStyle="1" w:styleId="Harmonisation-aCar">
    <w:name w:val="Harmonisation - a) Car"/>
    <w:basedOn w:val="ParagraphedelisteCar"/>
    <w:link w:val="Harmonisation-a"/>
    <w:rsid w:val="00CC58AD"/>
    <w:rPr>
      <w:rFonts w:ascii="Arial" w:eastAsia="Arial Unicode MS" w:hAnsi="Arial" w:cs="Times New Roman"/>
      <w:sz w:val="24"/>
      <w:szCs w:val="24"/>
      <w:bdr w:val="nil"/>
    </w:rPr>
  </w:style>
  <w:style w:type="paragraph" w:styleId="TM2">
    <w:name w:val="toc 2"/>
    <w:basedOn w:val="Normal"/>
    <w:next w:val="Normal"/>
    <w:autoRedefine/>
    <w:uiPriority w:val="39"/>
    <w:unhideWhenUsed/>
    <w:rsid w:val="005A7483"/>
    <w:pPr>
      <w:tabs>
        <w:tab w:val="right" w:leader="dot" w:pos="8590"/>
      </w:tabs>
      <w:spacing w:after="120" w:line="240" w:lineRule="auto"/>
      <w:ind w:left="238"/>
    </w:pPr>
    <w:rPr>
      <w:szCs w:val="20"/>
    </w:rPr>
  </w:style>
  <w:style w:type="character" w:customStyle="1" w:styleId="Harmonisation-tiretCar">
    <w:name w:val="Harmonisation - tiret Car"/>
    <w:basedOn w:val="ParagraphedelisteCar"/>
    <w:link w:val="Harmonisation-tiret"/>
    <w:rsid w:val="00007C16"/>
    <w:rPr>
      <w:rFonts w:ascii="Arial" w:hAnsi="Arial" w:cs="Arial"/>
      <w:sz w:val="24"/>
      <w:szCs w:val="24"/>
    </w:rPr>
  </w:style>
  <w:style w:type="character" w:styleId="Lienhypertexte">
    <w:name w:val="Hyperlink"/>
    <w:basedOn w:val="Policepardfaut"/>
    <w:uiPriority w:val="99"/>
    <w:unhideWhenUsed/>
    <w:rsid w:val="0042752F"/>
    <w:rPr>
      <w:color w:val="0563C1" w:themeColor="hyperlink"/>
      <w:u w:val="single"/>
    </w:rPr>
  </w:style>
  <w:style w:type="paragraph" w:customStyle="1" w:styleId="PardfautA">
    <w:name w:val="Par défaut A"/>
    <w:link w:val="PardfautACar"/>
    <w:rsid w:val="00C929EA"/>
    <w:pPr>
      <w:widowControl w:val="0"/>
      <w:pBdr>
        <w:top w:val="nil"/>
        <w:left w:val="nil"/>
        <w:bottom w:val="nil"/>
        <w:right w:val="nil"/>
        <w:between w:val="nil"/>
        <w:bar w:val="nil"/>
      </w:pBdr>
      <w:tabs>
        <w:tab w:val="left" w:pos="57"/>
      </w:tabs>
      <w:spacing w:after="240" w:line="240" w:lineRule="auto"/>
      <w:ind w:left="1"/>
      <w:jc w:val="both"/>
      <w:outlineLvl w:val="0"/>
    </w:pPr>
    <w:rPr>
      <w:rFonts w:ascii="Calibri" w:eastAsia="Calibri" w:hAnsi="Calibri" w:cs="Calibri"/>
      <w:color w:val="000000"/>
      <w:sz w:val="24"/>
      <w:szCs w:val="24"/>
      <w:u w:color="000000"/>
      <w:bdr w:val="nil"/>
      <w:lang w:val="en-US" w:eastAsia="fr-CA"/>
    </w:rPr>
  </w:style>
  <w:style w:type="character" w:customStyle="1" w:styleId="PardfautACar">
    <w:name w:val="Par défaut A Car"/>
    <w:basedOn w:val="Policepardfaut"/>
    <w:link w:val="PardfautA"/>
    <w:rsid w:val="00C929EA"/>
    <w:rPr>
      <w:rFonts w:ascii="Calibri" w:eastAsia="Calibri" w:hAnsi="Calibri" w:cs="Calibri"/>
      <w:color w:val="000000"/>
      <w:sz w:val="24"/>
      <w:szCs w:val="24"/>
      <w:u w:color="000000"/>
      <w:bdr w:val="nil"/>
      <w:lang w:val="en-US" w:eastAsia="fr-CA"/>
    </w:rPr>
  </w:style>
  <w:style w:type="paragraph" w:styleId="En-tte">
    <w:name w:val="header"/>
    <w:basedOn w:val="Normal"/>
    <w:link w:val="En-tteCar"/>
    <w:unhideWhenUsed/>
    <w:rsid w:val="00AA28D7"/>
    <w:pPr>
      <w:tabs>
        <w:tab w:val="center" w:pos="4320"/>
        <w:tab w:val="right" w:pos="8640"/>
      </w:tabs>
      <w:spacing w:after="0" w:line="240" w:lineRule="auto"/>
    </w:pPr>
  </w:style>
  <w:style w:type="character" w:customStyle="1" w:styleId="En-tteCar">
    <w:name w:val="En-tête Car"/>
    <w:basedOn w:val="Policepardfaut"/>
    <w:link w:val="En-tte"/>
    <w:rsid w:val="00AA28D7"/>
    <w:rPr>
      <w:rFonts w:ascii="Arial" w:hAnsi="Arial" w:cs="Arial"/>
      <w:sz w:val="24"/>
      <w:szCs w:val="24"/>
    </w:rPr>
  </w:style>
  <w:style w:type="paragraph" w:styleId="Pieddepage">
    <w:name w:val="footer"/>
    <w:basedOn w:val="Normal"/>
    <w:link w:val="PieddepageCar"/>
    <w:uiPriority w:val="99"/>
    <w:unhideWhenUsed/>
    <w:rsid w:val="00AA28D7"/>
    <w:pPr>
      <w:tabs>
        <w:tab w:val="center" w:pos="4320"/>
        <w:tab w:val="right" w:pos="8640"/>
      </w:tabs>
      <w:spacing w:after="0" w:line="240" w:lineRule="auto"/>
    </w:pPr>
  </w:style>
  <w:style w:type="character" w:customStyle="1" w:styleId="PieddepageCar">
    <w:name w:val="Pied de page Car"/>
    <w:basedOn w:val="Policepardfaut"/>
    <w:link w:val="Pieddepage"/>
    <w:rsid w:val="00AA28D7"/>
    <w:rPr>
      <w:rFonts w:ascii="Arial" w:hAnsi="Arial" w:cs="Arial"/>
      <w:sz w:val="24"/>
      <w:szCs w:val="24"/>
    </w:rPr>
  </w:style>
  <w:style w:type="character" w:customStyle="1" w:styleId="Titre1Car">
    <w:name w:val="Titre 1 Car"/>
    <w:basedOn w:val="Policepardfaut"/>
    <w:link w:val="Titre1"/>
    <w:uiPriority w:val="9"/>
    <w:rsid w:val="001E04B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1E04B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1E04B1"/>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1718F"/>
    <w:pPr>
      <w:outlineLvl w:val="9"/>
    </w:pPr>
    <w:rPr>
      <w:lang w:eastAsia="fr-CA"/>
    </w:rPr>
  </w:style>
  <w:style w:type="paragraph" w:styleId="TM3">
    <w:name w:val="toc 3"/>
    <w:basedOn w:val="Normal"/>
    <w:next w:val="Normal"/>
    <w:autoRedefine/>
    <w:uiPriority w:val="39"/>
    <w:unhideWhenUsed/>
    <w:rsid w:val="00066D85"/>
    <w:pPr>
      <w:spacing w:after="0"/>
      <w:ind w:left="480"/>
    </w:pPr>
    <w:rPr>
      <w:rFonts w:asciiTheme="minorHAnsi" w:hAnsiTheme="minorHAnsi"/>
      <w:i/>
      <w:iCs/>
      <w:sz w:val="20"/>
      <w:szCs w:val="20"/>
    </w:rPr>
  </w:style>
  <w:style w:type="character" w:styleId="Lienhypertextesuivivisit">
    <w:name w:val="FollowedHyperlink"/>
    <w:basedOn w:val="Policepardfaut"/>
    <w:uiPriority w:val="99"/>
    <w:semiHidden/>
    <w:unhideWhenUsed/>
    <w:rsid w:val="00E346D0"/>
    <w:rPr>
      <w:color w:val="954F72" w:themeColor="followedHyperlink"/>
      <w:u w:val="single"/>
    </w:rPr>
  </w:style>
  <w:style w:type="numbering" w:customStyle="1" w:styleId="Style28import">
    <w:name w:val="Style 28 importé"/>
    <w:rsid w:val="00010E79"/>
    <w:pPr>
      <w:numPr>
        <w:numId w:val="6"/>
      </w:numPr>
    </w:pPr>
  </w:style>
  <w:style w:type="numbering" w:customStyle="1" w:styleId="Style2import00">
    <w:name w:val="Style 2 importé.0.0"/>
    <w:rsid w:val="00010E79"/>
    <w:pPr>
      <w:numPr>
        <w:numId w:val="7"/>
      </w:numPr>
    </w:pPr>
  </w:style>
  <w:style w:type="paragraph" w:customStyle="1" w:styleId="bulle">
    <w:name w:val="bulle"/>
    <w:qFormat/>
    <w:rsid w:val="00010E79"/>
    <w:pPr>
      <w:numPr>
        <w:ilvl w:val="2"/>
        <w:numId w:val="8"/>
      </w:numPr>
      <w:pBdr>
        <w:top w:val="nil"/>
        <w:left w:val="nil"/>
        <w:bottom w:val="nil"/>
        <w:right w:val="nil"/>
        <w:between w:val="nil"/>
        <w:bar w:val="nil"/>
      </w:pBdr>
      <w:tabs>
        <w:tab w:val="left" w:pos="2124"/>
      </w:tabs>
      <w:spacing w:before="120" w:after="120" w:line="240" w:lineRule="auto"/>
      <w:jc w:val="both"/>
    </w:pPr>
    <w:rPr>
      <w:rFonts w:ascii="Arial" w:eastAsia="Arial" w:hAnsi="Arial" w:cs="Arial"/>
      <w:color w:val="000000"/>
      <w:sz w:val="24"/>
      <w:szCs w:val="24"/>
      <w:u w:color="000000"/>
      <w:bdr w:val="nil"/>
      <w:lang w:val="fr-FR" w:eastAsia="fr-CA"/>
    </w:rPr>
  </w:style>
  <w:style w:type="paragraph" w:customStyle="1" w:styleId="CorpsB">
    <w:name w:val="Corps B"/>
    <w:rsid w:val="003B4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CA"/>
    </w:rPr>
  </w:style>
  <w:style w:type="numbering" w:customStyle="1" w:styleId="Style26import">
    <w:name w:val="Style 26 importé"/>
    <w:rsid w:val="003B4D35"/>
    <w:pPr>
      <w:numPr>
        <w:numId w:val="10"/>
      </w:numPr>
    </w:pPr>
  </w:style>
  <w:style w:type="paragraph" w:styleId="Citation">
    <w:name w:val="Quote"/>
    <w:basedOn w:val="Normal"/>
    <w:next w:val="Normal"/>
    <w:link w:val="CitationCar"/>
    <w:uiPriority w:val="29"/>
    <w:qFormat/>
    <w:rsid w:val="00D420DC"/>
    <w:pPr>
      <w:spacing w:before="200"/>
      <w:ind w:left="1134" w:right="662"/>
      <w:jc w:val="both"/>
    </w:pPr>
    <w:rPr>
      <w:iCs/>
      <w:sz w:val="22"/>
      <w:szCs w:val="22"/>
    </w:rPr>
  </w:style>
  <w:style w:type="character" w:customStyle="1" w:styleId="CitationCar">
    <w:name w:val="Citation Car"/>
    <w:basedOn w:val="Policepardfaut"/>
    <w:link w:val="Citation"/>
    <w:uiPriority w:val="29"/>
    <w:rsid w:val="00D420DC"/>
    <w:rPr>
      <w:rFonts w:ascii="Arial" w:hAnsi="Arial" w:cs="Arial"/>
      <w:iCs/>
    </w:rPr>
  </w:style>
  <w:style w:type="paragraph" w:styleId="TM4">
    <w:name w:val="toc 4"/>
    <w:basedOn w:val="Normal"/>
    <w:next w:val="Normal"/>
    <w:autoRedefine/>
    <w:uiPriority w:val="39"/>
    <w:unhideWhenUsed/>
    <w:rsid w:val="004C0868"/>
    <w:pPr>
      <w:spacing w:after="0"/>
      <w:ind w:left="720"/>
    </w:pPr>
    <w:rPr>
      <w:rFonts w:asciiTheme="minorHAnsi" w:hAnsiTheme="minorHAnsi"/>
      <w:sz w:val="18"/>
      <w:szCs w:val="18"/>
    </w:rPr>
  </w:style>
  <w:style w:type="paragraph" w:styleId="TM5">
    <w:name w:val="toc 5"/>
    <w:basedOn w:val="Normal"/>
    <w:next w:val="Normal"/>
    <w:autoRedefine/>
    <w:uiPriority w:val="39"/>
    <w:unhideWhenUsed/>
    <w:rsid w:val="004C0868"/>
    <w:pPr>
      <w:spacing w:after="0"/>
      <w:ind w:left="960"/>
    </w:pPr>
    <w:rPr>
      <w:rFonts w:asciiTheme="minorHAnsi" w:hAnsiTheme="minorHAnsi"/>
      <w:sz w:val="18"/>
      <w:szCs w:val="18"/>
    </w:rPr>
  </w:style>
  <w:style w:type="paragraph" w:styleId="TM6">
    <w:name w:val="toc 6"/>
    <w:basedOn w:val="Normal"/>
    <w:next w:val="Normal"/>
    <w:autoRedefine/>
    <w:uiPriority w:val="39"/>
    <w:unhideWhenUsed/>
    <w:rsid w:val="004C0868"/>
    <w:pPr>
      <w:spacing w:after="0"/>
      <w:ind w:left="1200"/>
    </w:pPr>
    <w:rPr>
      <w:rFonts w:asciiTheme="minorHAnsi" w:hAnsiTheme="minorHAnsi"/>
      <w:sz w:val="18"/>
      <w:szCs w:val="18"/>
    </w:rPr>
  </w:style>
  <w:style w:type="paragraph" w:styleId="TM7">
    <w:name w:val="toc 7"/>
    <w:basedOn w:val="Normal"/>
    <w:next w:val="Normal"/>
    <w:autoRedefine/>
    <w:uiPriority w:val="39"/>
    <w:unhideWhenUsed/>
    <w:rsid w:val="004C0868"/>
    <w:pPr>
      <w:spacing w:after="0"/>
      <w:ind w:left="1440"/>
    </w:pPr>
    <w:rPr>
      <w:rFonts w:asciiTheme="minorHAnsi" w:hAnsiTheme="minorHAnsi"/>
      <w:sz w:val="18"/>
      <w:szCs w:val="18"/>
    </w:rPr>
  </w:style>
  <w:style w:type="paragraph" w:styleId="TM8">
    <w:name w:val="toc 8"/>
    <w:basedOn w:val="Normal"/>
    <w:next w:val="Normal"/>
    <w:autoRedefine/>
    <w:uiPriority w:val="39"/>
    <w:unhideWhenUsed/>
    <w:rsid w:val="004C0868"/>
    <w:pPr>
      <w:spacing w:after="0"/>
      <w:ind w:left="1680"/>
    </w:pPr>
    <w:rPr>
      <w:rFonts w:asciiTheme="minorHAnsi" w:hAnsiTheme="minorHAnsi"/>
      <w:sz w:val="18"/>
      <w:szCs w:val="18"/>
    </w:rPr>
  </w:style>
  <w:style w:type="paragraph" w:styleId="TM9">
    <w:name w:val="toc 9"/>
    <w:basedOn w:val="Normal"/>
    <w:next w:val="Normal"/>
    <w:autoRedefine/>
    <w:uiPriority w:val="39"/>
    <w:unhideWhenUsed/>
    <w:rsid w:val="004C0868"/>
    <w:pPr>
      <w:spacing w:after="0"/>
      <w:ind w:left="1920"/>
    </w:pPr>
    <w:rPr>
      <w:rFonts w:asciiTheme="minorHAnsi" w:hAnsiTheme="minorHAnsi"/>
      <w:sz w:val="18"/>
      <w:szCs w:val="18"/>
    </w:rPr>
  </w:style>
  <w:style w:type="paragraph" w:styleId="Textedebulles">
    <w:name w:val="Balloon Text"/>
    <w:basedOn w:val="Normal"/>
    <w:link w:val="TextedebullesCar"/>
    <w:semiHidden/>
    <w:unhideWhenUsed/>
    <w:rsid w:val="00B94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23F"/>
    <w:rPr>
      <w:rFonts w:ascii="Segoe UI" w:hAnsi="Segoe UI" w:cs="Segoe UI"/>
      <w:sz w:val="18"/>
      <w:szCs w:val="18"/>
    </w:rPr>
  </w:style>
  <w:style w:type="paragraph" w:customStyle="1" w:styleId="Flche">
    <w:name w:val="Flèche"/>
    <w:basedOn w:val="Paragraphedeliste"/>
    <w:link w:val="FlcheCar"/>
    <w:qFormat/>
    <w:rsid w:val="00084501"/>
    <w:pPr>
      <w:numPr>
        <w:numId w:val="15"/>
      </w:numPr>
      <w:spacing w:after="240" w:line="240" w:lineRule="auto"/>
      <w:contextualSpacing w:val="0"/>
      <w:jc w:val="both"/>
    </w:pPr>
  </w:style>
  <w:style w:type="paragraph" w:customStyle="1" w:styleId="Tiretdirectives">
    <w:name w:val="Tiret (directives)"/>
    <w:basedOn w:val="paragraphenumrot"/>
    <w:link w:val="TiretdirectivesCar"/>
    <w:qFormat/>
    <w:rsid w:val="00072B8E"/>
    <w:pPr>
      <w:numPr>
        <w:numId w:val="16"/>
      </w:numPr>
      <w:ind w:left="993" w:hanging="284"/>
    </w:pPr>
  </w:style>
  <w:style w:type="character" w:customStyle="1" w:styleId="FlcheCar">
    <w:name w:val="Flèche Car"/>
    <w:basedOn w:val="ParagraphedelisteCar"/>
    <w:link w:val="Flche"/>
    <w:rsid w:val="00084501"/>
    <w:rPr>
      <w:rFonts w:ascii="Arial" w:hAnsi="Arial" w:cs="Arial"/>
      <w:sz w:val="24"/>
      <w:szCs w:val="24"/>
    </w:rPr>
  </w:style>
  <w:style w:type="paragraph" w:customStyle="1" w:styleId="Carrdirectives">
    <w:name w:val="Carré (directives)"/>
    <w:basedOn w:val="Tiretdirectives"/>
    <w:link w:val="CarrdirectivesCar"/>
    <w:qFormat/>
    <w:rsid w:val="00072B8E"/>
    <w:pPr>
      <w:numPr>
        <w:numId w:val="17"/>
      </w:numPr>
      <w:ind w:left="1560"/>
    </w:pPr>
  </w:style>
  <w:style w:type="character" w:customStyle="1" w:styleId="TiretdirectivesCar">
    <w:name w:val="Tiret (directives) Car"/>
    <w:basedOn w:val="paragraphenumrotCar"/>
    <w:link w:val="Tiretdirectives"/>
    <w:rsid w:val="00072B8E"/>
    <w:rPr>
      <w:rFonts w:ascii="Arial" w:eastAsia="Arial" w:hAnsi="Arial" w:cs="Arial"/>
      <w:color w:val="000000"/>
      <w:sz w:val="24"/>
      <w:szCs w:val="24"/>
      <w:u w:color="000000"/>
      <w:bdr w:val="nil"/>
      <w:lang w:eastAsia="fr-CA"/>
    </w:rPr>
  </w:style>
  <w:style w:type="character" w:customStyle="1" w:styleId="CarrdirectivesCar">
    <w:name w:val="Carré (directives) Car"/>
    <w:basedOn w:val="TiretdirectivesCar"/>
    <w:link w:val="Carrdirectives"/>
    <w:rsid w:val="00072B8E"/>
    <w:rPr>
      <w:rFonts w:ascii="Arial" w:eastAsia="Arial" w:hAnsi="Arial" w:cs="Arial"/>
      <w:color w:val="000000"/>
      <w:sz w:val="24"/>
      <w:szCs w:val="24"/>
      <w:u w:color="000000"/>
      <w:bdr w:val="nil"/>
      <w:lang w:eastAsia="fr-CA"/>
    </w:rPr>
  </w:style>
  <w:style w:type="paragraph" w:customStyle="1" w:styleId="Harmonisation-paragraphesansnumro">
    <w:name w:val="Harmonisation - paragraphe sans numéro"/>
    <w:basedOn w:val="Harmonisation-tiret"/>
    <w:link w:val="Harmonisation-paragraphesansnumroCar"/>
    <w:qFormat/>
    <w:rsid w:val="00373B31"/>
    <w:pPr>
      <w:numPr>
        <w:numId w:val="0"/>
      </w:numPr>
      <w:ind w:left="567"/>
    </w:pPr>
  </w:style>
  <w:style w:type="character" w:customStyle="1" w:styleId="Harmonisation-paragraphesansnumroCar">
    <w:name w:val="Harmonisation - paragraphe sans numéro Car"/>
    <w:basedOn w:val="Harmonisation-tiretCar"/>
    <w:link w:val="Harmonisation-paragraphesansnumro"/>
    <w:rsid w:val="00373B31"/>
    <w:rPr>
      <w:rFonts w:ascii="Arial" w:hAnsi="Arial" w:cs="Arial"/>
      <w:sz w:val="24"/>
      <w:szCs w:val="24"/>
    </w:rPr>
  </w:style>
  <w:style w:type="paragraph" w:styleId="Notedebasdepage">
    <w:name w:val="footnote text"/>
    <w:basedOn w:val="Normal"/>
    <w:link w:val="NotedebasdepageCar"/>
    <w:semiHidden/>
    <w:unhideWhenUsed/>
    <w:rsid w:val="000C5C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5C50"/>
    <w:rPr>
      <w:rFonts w:ascii="Arial" w:hAnsi="Arial" w:cs="Arial"/>
      <w:sz w:val="20"/>
      <w:szCs w:val="20"/>
    </w:rPr>
  </w:style>
  <w:style w:type="character" w:styleId="Appelnotedebasdep">
    <w:name w:val="footnote reference"/>
    <w:basedOn w:val="Policepardfaut"/>
    <w:semiHidden/>
    <w:unhideWhenUsed/>
    <w:rsid w:val="000C5C50"/>
    <w:rPr>
      <w:vertAlign w:val="superscript"/>
    </w:rPr>
  </w:style>
  <w:style w:type="character" w:customStyle="1" w:styleId="Hyperlink0">
    <w:name w:val="Hyperlink.0"/>
    <w:basedOn w:val="Aucun"/>
    <w:rsid w:val="00F32C97"/>
    <w:rPr>
      <w:u w:color="660000"/>
      <w:lang w:val="en-US"/>
    </w:rPr>
  </w:style>
  <w:style w:type="paragraph" w:customStyle="1" w:styleId="Harmonisation-i">
    <w:name w:val="Harmonisation - i"/>
    <w:basedOn w:val="Normal"/>
    <w:link w:val="Harmonisation-iCar"/>
    <w:qFormat/>
    <w:rsid w:val="003D7EB5"/>
    <w:pPr>
      <w:numPr>
        <w:numId w:val="19"/>
      </w:numPr>
      <w:spacing w:after="240" w:line="240" w:lineRule="auto"/>
    </w:pPr>
  </w:style>
  <w:style w:type="character" w:customStyle="1" w:styleId="Harmonisation-iCar">
    <w:name w:val="Harmonisation - i Car"/>
    <w:basedOn w:val="Policepardfaut"/>
    <w:link w:val="Harmonisation-i"/>
    <w:rsid w:val="003D7EB5"/>
    <w:rPr>
      <w:rFonts w:ascii="Arial" w:hAnsi="Arial" w:cs="Arial"/>
      <w:sz w:val="24"/>
      <w:szCs w:val="24"/>
    </w:rPr>
  </w:style>
  <w:style w:type="paragraph" w:customStyle="1" w:styleId="Paragraphe">
    <w:name w:val="Paragraphe"/>
    <w:basedOn w:val="Normal"/>
    <w:rsid w:val="007544FA"/>
    <w:pPr>
      <w:numPr>
        <w:numId w:val="22"/>
      </w:numPr>
      <w:tabs>
        <w:tab w:val="clear" w:pos="360"/>
      </w:tabs>
      <w:spacing w:before="120" w:after="120" w:line="500" w:lineRule="exact"/>
      <w:jc w:val="both"/>
    </w:pPr>
    <w:rPr>
      <w:rFonts w:eastAsia="Times New Roman"/>
      <w:kern w:val="28"/>
      <w:lang w:eastAsia="fr-FR"/>
    </w:rPr>
  </w:style>
  <w:style w:type="paragraph" w:customStyle="1" w:styleId="Sous-paragraphe">
    <w:name w:val="Sous-paragraphe"/>
    <w:basedOn w:val="Normal"/>
    <w:rsid w:val="007544FA"/>
    <w:pPr>
      <w:widowControl w:val="0"/>
      <w:numPr>
        <w:ilvl w:val="1"/>
        <w:numId w:val="22"/>
      </w:numPr>
      <w:tabs>
        <w:tab w:val="clear" w:pos="792"/>
      </w:tabs>
      <w:spacing w:after="120" w:line="240" w:lineRule="auto"/>
      <w:ind w:left="1468" w:hanging="734"/>
      <w:jc w:val="both"/>
    </w:pPr>
    <w:rPr>
      <w:rFonts w:eastAsia="Times New Roman"/>
      <w:kern w:val="28"/>
      <w:lang w:eastAsia="fr-FR"/>
    </w:rPr>
  </w:style>
  <w:style w:type="paragraph" w:styleId="Corpsdetexte">
    <w:name w:val="Body Text"/>
    <w:basedOn w:val="Normal"/>
    <w:link w:val="CorpsdetexteCar"/>
    <w:rsid w:val="007544FA"/>
    <w:pPr>
      <w:spacing w:after="0" w:line="240" w:lineRule="auto"/>
      <w:jc w:val="both"/>
    </w:pPr>
    <w:rPr>
      <w:rFonts w:eastAsia="Times New Roman"/>
      <w:lang w:eastAsia="fr-FR"/>
    </w:rPr>
  </w:style>
  <w:style w:type="character" w:customStyle="1" w:styleId="CorpsdetexteCar">
    <w:name w:val="Corps de texte Car"/>
    <w:basedOn w:val="Policepardfaut"/>
    <w:link w:val="Corpsdetexte"/>
    <w:rsid w:val="007544FA"/>
    <w:rPr>
      <w:rFonts w:ascii="Arial" w:eastAsia="Times New Roman" w:hAnsi="Arial" w:cs="Arial"/>
      <w:sz w:val="24"/>
      <w:szCs w:val="24"/>
      <w:lang w:eastAsia="fr-FR"/>
    </w:rPr>
  </w:style>
  <w:style w:type="character" w:styleId="Numrodepage">
    <w:name w:val="page number"/>
    <w:basedOn w:val="Policepardfaut"/>
    <w:rsid w:val="007544FA"/>
  </w:style>
  <w:style w:type="paragraph" w:styleId="Explorateurdedocuments">
    <w:name w:val="Document Map"/>
    <w:basedOn w:val="Normal"/>
    <w:link w:val="ExplorateurdedocumentsCar"/>
    <w:semiHidden/>
    <w:rsid w:val="007544FA"/>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7544FA"/>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7544FA"/>
    <w:rPr>
      <w:sz w:val="16"/>
      <w:szCs w:val="16"/>
    </w:rPr>
  </w:style>
  <w:style w:type="paragraph" w:styleId="Commentaire">
    <w:name w:val="annotation text"/>
    <w:basedOn w:val="Normal"/>
    <w:link w:val="CommentaireCar"/>
    <w:semiHidden/>
    <w:rsid w:val="007544F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7544F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7544FA"/>
    <w:rPr>
      <w:b/>
      <w:bCs/>
    </w:rPr>
  </w:style>
  <w:style w:type="character" w:customStyle="1" w:styleId="ObjetducommentaireCar">
    <w:name w:val="Objet du commentaire Car"/>
    <w:basedOn w:val="CommentaireCar"/>
    <w:link w:val="Objetducommentaire"/>
    <w:semiHidden/>
    <w:rsid w:val="007544FA"/>
    <w:rPr>
      <w:rFonts w:ascii="Times New Roman" w:eastAsia="Times New Roman" w:hAnsi="Times New Roman" w:cs="Times New Roman"/>
      <w:b/>
      <w:bCs/>
      <w:sz w:val="20"/>
      <w:szCs w:val="20"/>
      <w:lang w:eastAsia="fr-FR"/>
    </w:rPr>
  </w:style>
  <w:style w:type="paragraph" w:customStyle="1" w:styleId="Styledetableau2">
    <w:name w:val="Style de tableau 2"/>
    <w:rsid w:val="007544F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eastAsia="Arial Unicode MS" w:hAnsi="Helvetica" w:cs="Helvetica"/>
      <w:color w:val="000000"/>
      <w:sz w:val="20"/>
      <w:szCs w:val="20"/>
      <w:lang w:eastAsia="fr-CA"/>
    </w:rPr>
  </w:style>
  <w:style w:type="character" w:customStyle="1" w:styleId="entry-date">
    <w:name w:val="entry-date"/>
    <w:rsid w:val="001A0EA7"/>
    <w:rPr>
      <w:rFonts w:cs="Times New Roman"/>
    </w:rPr>
  </w:style>
  <w:style w:type="paragraph" w:customStyle="1" w:styleId="entry-cat">
    <w:name w:val="entry-cat"/>
    <w:basedOn w:val="Normal"/>
    <w:rsid w:val="001A0EA7"/>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meta-sep">
    <w:name w:val="meta-sep"/>
    <w:rsid w:val="001A0EA7"/>
    <w:rPr>
      <w:rFonts w:cs="Times New Roman"/>
    </w:rPr>
  </w:style>
  <w:style w:type="character" w:customStyle="1" w:styleId="apple-converted-space">
    <w:name w:val="apple-converted-space"/>
    <w:rsid w:val="001A0EA7"/>
    <w:rPr>
      <w:rFonts w:cs="Times New Roman"/>
    </w:rPr>
  </w:style>
  <w:style w:type="character" w:customStyle="1" w:styleId="authorvcard">
    <w:name w:val="author vcard"/>
    <w:rsid w:val="001A0EA7"/>
    <w:rPr>
      <w:rFonts w:cs="Times New Roman"/>
    </w:rPr>
  </w:style>
  <w:style w:type="paragraph" w:styleId="NormalWeb">
    <w:name w:val="Normal (Web)"/>
    <w:basedOn w:val="Normal"/>
    <w:rsid w:val="001A0EA7"/>
    <w:pPr>
      <w:spacing w:before="100" w:beforeAutospacing="1" w:after="100" w:afterAutospacing="1" w:line="240" w:lineRule="auto"/>
    </w:pPr>
    <w:rPr>
      <w:rFonts w:ascii="Times New Roman" w:eastAsia="Times New Roman" w:hAnsi="Times New Roman" w:cs="Times New Roman"/>
      <w:lang w:eastAsia="fr-CA"/>
    </w:rPr>
  </w:style>
  <w:style w:type="character" w:styleId="lev">
    <w:name w:val="Strong"/>
    <w:uiPriority w:val="22"/>
    <w:qFormat/>
    <w:rsid w:val="001A0EA7"/>
    <w:rPr>
      <w:rFonts w:cs="Times New Roman"/>
      <w:b/>
      <w:bCs/>
    </w:rPr>
  </w:style>
  <w:style w:type="paragraph" w:customStyle="1" w:styleId="Default">
    <w:name w:val="Default"/>
    <w:rsid w:val="00E86DBD"/>
    <w:pPr>
      <w:autoSpaceDE w:val="0"/>
      <w:autoSpaceDN w:val="0"/>
      <w:adjustRightInd w:val="0"/>
      <w:spacing w:after="0" w:line="240" w:lineRule="auto"/>
    </w:pPr>
    <w:rPr>
      <w:rFonts w:ascii="Arial" w:eastAsia="Times New Roman" w:hAnsi="Arial" w:cs="Arial"/>
      <w:color w:val="000000"/>
      <w:sz w:val="24"/>
      <w:szCs w:val="24"/>
      <w:lang w:eastAsia="fr-CA"/>
    </w:rPr>
  </w:style>
  <w:style w:type="character" w:customStyle="1" w:styleId="Titre7Car">
    <w:name w:val="Titre 7 Car"/>
    <w:basedOn w:val="Policepardfaut"/>
    <w:link w:val="Titre7"/>
    <w:rsid w:val="001F15E5"/>
    <w:rPr>
      <w:rFonts w:ascii="Lucida Sans Unicode" w:eastAsia="Times New Roman" w:hAnsi="Lucida Sans Unicode" w:cs="Lucida Sans Unicode"/>
      <w:sz w:val="24"/>
      <w:szCs w:val="24"/>
      <w:lang w:eastAsia="fr-FR"/>
    </w:rPr>
  </w:style>
  <w:style w:type="character" w:customStyle="1" w:styleId="Titre9Car">
    <w:name w:val="Titre 9 Car"/>
    <w:basedOn w:val="Policepardfaut"/>
    <w:link w:val="Titre9"/>
    <w:rsid w:val="001F15E5"/>
    <w:rPr>
      <w:rFonts w:ascii="Times New Roman" w:eastAsia="Times New Roman" w:hAnsi="Times New Roman" w:cs="Times New Roman"/>
      <w:b/>
      <w:bCs/>
      <w:caps/>
      <w:color w:val="000000"/>
      <w:lang w:eastAsia="fr-FR"/>
    </w:rPr>
  </w:style>
  <w:style w:type="paragraph" w:styleId="Lgende">
    <w:name w:val="caption"/>
    <w:basedOn w:val="Normal"/>
    <w:next w:val="Normal"/>
    <w:qFormat/>
    <w:rsid w:val="001F15E5"/>
    <w:pPr>
      <w:tabs>
        <w:tab w:val="left" w:pos="5310"/>
      </w:tabs>
      <w:spacing w:before="60" w:after="0" w:line="240" w:lineRule="auto"/>
      <w:jc w:val="both"/>
    </w:pPr>
    <w:rPr>
      <w:rFonts w:ascii="Lucida Sans Unicode" w:eastAsia="Times New Roman" w:hAnsi="Lucida Sans Unicode" w:cs="Lucida Sans Unicode"/>
      <w:b/>
      <w:bCs/>
      <w:sz w:val="20"/>
      <w:szCs w:val="20"/>
      <w:lang w:eastAsia="fr-FR"/>
    </w:rPr>
  </w:style>
  <w:style w:type="paragraph" w:styleId="Retraitcorpsdetexte">
    <w:name w:val="Body Text Indent"/>
    <w:basedOn w:val="Normal"/>
    <w:link w:val="RetraitcorpsdetexteCar"/>
    <w:rsid w:val="001F15E5"/>
    <w:pPr>
      <w:shd w:val="clear" w:color="auto" w:fill="FFFFFF"/>
      <w:tabs>
        <w:tab w:val="right" w:pos="10440"/>
      </w:tabs>
      <w:spacing w:before="60" w:after="0" w:line="240" w:lineRule="auto"/>
      <w:ind w:left="4956"/>
      <w:jc w:val="both"/>
    </w:pPr>
    <w:rPr>
      <w:rFonts w:ascii="Times New Roman" w:eastAsia="Times New Roman" w:hAnsi="Times New Roman" w:cs="Times New Roman"/>
      <w:b/>
      <w:bCs/>
      <w:caps/>
      <w:color w:val="000000"/>
      <w:lang w:eastAsia="fr-FR"/>
    </w:rPr>
  </w:style>
  <w:style w:type="character" w:customStyle="1" w:styleId="RetraitcorpsdetexteCar">
    <w:name w:val="Retrait corps de texte Car"/>
    <w:basedOn w:val="Policepardfaut"/>
    <w:link w:val="Retraitcorpsdetexte"/>
    <w:rsid w:val="001F15E5"/>
    <w:rPr>
      <w:rFonts w:ascii="Times New Roman" w:eastAsia="Times New Roman" w:hAnsi="Times New Roman" w:cs="Times New Roman"/>
      <w:b/>
      <w:bCs/>
      <w:caps/>
      <w:color w:val="000000"/>
      <w:sz w:val="24"/>
      <w:szCs w:val="24"/>
      <w:shd w:val="clear" w:color="auto" w:fill="FFFFFF"/>
      <w:lang w:eastAsia="fr-FR"/>
    </w:rPr>
  </w:style>
  <w:style w:type="numbering" w:customStyle="1" w:styleId="Grossepuce">
    <w:name w:val="Grosse puce"/>
    <w:rsid w:val="00F3578F"/>
    <w:pPr>
      <w:numPr>
        <w:numId w:val="32"/>
      </w:numPr>
    </w:pPr>
  </w:style>
  <w:style w:type="paragraph" w:customStyle="1" w:styleId="a">
    <w:name w:val="a)"/>
    <w:basedOn w:val="Normal"/>
    <w:link w:val="aCar"/>
    <w:rsid w:val="00657182"/>
    <w:pPr>
      <w:numPr>
        <w:ilvl w:val="1"/>
        <w:numId w:val="35"/>
      </w:numPr>
    </w:pPr>
  </w:style>
  <w:style w:type="paragraph" w:customStyle="1" w:styleId="HarmonisationDB-nombres">
    <w:name w:val="Harmonisation DB-nombres"/>
    <w:basedOn w:val="Paragraphedeliste"/>
    <w:link w:val="HarmonisationDB-nombresCar"/>
    <w:qFormat/>
    <w:rsid w:val="00C2699A"/>
    <w:pPr>
      <w:numPr>
        <w:ilvl w:val="1"/>
        <w:numId w:val="2"/>
      </w:numPr>
      <w:tabs>
        <w:tab w:val="left" w:pos="1276"/>
      </w:tabs>
      <w:spacing w:after="240" w:line="240" w:lineRule="auto"/>
      <w:contextualSpacing w:val="0"/>
      <w:jc w:val="both"/>
    </w:pPr>
  </w:style>
  <w:style w:type="paragraph" w:customStyle="1" w:styleId="HarmonisationDBlettres">
    <w:name w:val="Harmonisation DBlettres"/>
    <w:basedOn w:val="a"/>
    <w:link w:val="HarmonisationDBlettresCar"/>
    <w:qFormat/>
    <w:rsid w:val="00657182"/>
    <w:pPr>
      <w:numPr>
        <w:numId w:val="34"/>
      </w:numPr>
      <w:spacing w:after="240" w:line="240" w:lineRule="auto"/>
      <w:ind w:left="1985" w:hanging="391"/>
      <w:jc w:val="both"/>
    </w:pPr>
  </w:style>
  <w:style w:type="character" w:customStyle="1" w:styleId="HarmonisationDB-nombresCar">
    <w:name w:val="Harmonisation DB-nombres Car"/>
    <w:basedOn w:val="ParagraphedelisteCar"/>
    <w:link w:val="HarmonisationDB-nombres"/>
    <w:rsid w:val="00C2699A"/>
    <w:rPr>
      <w:rFonts w:ascii="Arial" w:hAnsi="Arial" w:cs="Arial"/>
      <w:sz w:val="24"/>
      <w:szCs w:val="24"/>
    </w:rPr>
  </w:style>
  <w:style w:type="paragraph" w:customStyle="1" w:styleId="HarmonisationDBneutre">
    <w:name w:val="Harmonisation DBneutre"/>
    <w:basedOn w:val="Normal"/>
    <w:link w:val="HarmonisationDBneutreCar"/>
    <w:qFormat/>
    <w:rsid w:val="00FB6A88"/>
    <w:pPr>
      <w:spacing w:after="240" w:line="240" w:lineRule="auto"/>
      <w:ind w:left="1559"/>
    </w:pPr>
  </w:style>
  <w:style w:type="character" w:customStyle="1" w:styleId="aCar">
    <w:name w:val="a) Car"/>
    <w:basedOn w:val="Policepardfaut"/>
    <w:link w:val="a"/>
    <w:rsid w:val="00657182"/>
    <w:rPr>
      <w:rFonts w:ascii="Arial" w:hAnsi="Arial" w:cs="Arial"/>
      <w:sz w:val="24"/>
      <w:szCs w:val="24"/>
    </w:rPr>
  </w:style>
  <w:style w:type="character" w:customStyle="1" w:styleId="HarmonisationDBlettresCar">
    <w:name w:val="Harmonisation DBlettres Car"/>
    <w:basedOn w:val="aCar"/>
    <w:link w:val="HarmonisationDBlettres"/>
    <w:rsid w:val="00657182"/>
    <w:rPr>
      <w:rFonts w:ascii="Arial" w:hAnsi="Arial" w:cs="Arial"/>
      <w:sz w:val="24"/>
      <w:szCs w:val="24"/>
    </w:rPr>
  </w:style>
  <w:style w:type="character" w:customStyle="1" w:styleId="HarmonisationDBneutreCar">
    <w:name w:val="Harmonisation DBneutre Car"/>
    <w:basedOn w:val="Policepardfaut"/>
    <w:link w:val="HarmonisationDBneutre"/>
    <w:rsid w:val="00FB6A88"/>
    <w:rPr>
      <w:rFonts w:ascii="Arial" w:hAnsi="Arial" w:cs="Arial"/>
      <w:sz w:val="24"/>
      <w:szCs w:val="24"/>
    </w:rPr>
  </w:style>
  <w:style w:type="paragraph" w:customStyle="1" w:styleId="aucunchamp">
    <w:name w:val="aucun champ"/>
    <w:basedOn w:val="Normal"/>
    <w:link w:val="aucunchampCar"/>
    <w:qFormat/>
    <w:rsid w:val="004802DC"/>
    <w:pPr>
      <w:spacing w:after="0" w:line="240" w:lineRule="auto"/>
    </w:pPr>
    <w:rPr>
      <w:sz w:val="10"/>
      <w:szCs w:val="10"/>
    </w:rPr>
  </w:style>
  <w:style w:type="character" w:customStyle="1" w:styleId="aucunchampCar">
    <w:name w:val="aucun champ Car"/>
    <w:basedOn w:val="Policepardfaut"/>
    <w:link w:val="aucunchamp"/>
    <w:rsid w:val="004802DC"/>
    <w:rPr>
      <w:rFonts w:ascii="Arial" w:hAnsi="Arial" w:cs="Arial"/>
      <w:sz w:val="10"/>
      <w:szCs w:val="10"/>
    </w:rPr>
  </w:style>
  <w:style w:type="paragraph" w:styleId="Rvision">
    <w:name w:val="Revision"/>
    <w:hidden/>
    <w:uiPriority w:val="99"/>
    <w:semiHidden/>
    <w:rsid w:val="00A5598B"/>
    <w:pPr>
      <w:spacing w:after="0" w:line="240" w:lineRule="auto"/>
    </w:pPr>
    <w:rPr>
      <w:rFonts w:ascii="Arial" w:hAnsi="Arial" w:cs="Arial"/>
      <w:sz w:val="24"/>
      <w:szCs w:val="24"/>
    </w:rPr>
  </w:style>
  <w:style w:type="character" w:styleId="Mentionnonrsolue">
    <w:name w:val="Unresolved Mention"/>
    <w:basedOn w:val="Policepardfaut"/>
    <w:uiPriority w:val="99"/>
    <w:semiHidden/>
    <w:unhideWhenUsed/>
    <w:rsid w:val="002E1B29"/>
    <w:rPr>
      <w:color w:val="605E5C"/>
      <w:shd w:val="clear" w:color="auto" w:fill="E1DFDD"/>
    </w:rPr>
  </w:style>
  <w:style w:type="character" w:customStyle="1" w:styleId="Titre10">
    <w:name w:val="Titre1"/>
    <w:basedOn w:val="Policepardfaut"/>
    <w:rsid w:val="003A1806"/>
  </w:style>
  <w:style w:type="paragraph" w:customStyle="1" w:styleId="Modif">
    <w:name w:val="Modif"/>
    <w:basedOn w:val="paragraphenumrot"/>
    <w:link w:val="ModifCar"/>
    <w:qFormat/>
    <w:rsid w:val="005977BA"/>
    <w:pPr>
      <w:keepNext/>
      <w:keepLines/>
      <w:widowControl/>
      <w:numPr>
        <w:numId w:val="0"/>
      </w:numPr>
      <w:ind w:left="709"/>
    </w:pPr>
    <w:rPr>
      <w:b/>
      <w:bCs/>
      <w:i/>
      <w:iCs/>
      <w:sz w:val="20"/>
      <w:szCs w:val="20"/>
    </w:rPr>
  </w:style>
  <w:style w:type="paragraph" w:customStyle="1" w:styleId="Harmonisation-ajout">
    <w:name w:val="Harmonisation - ajout"/>
    <w:basedOn w:val="Harmonisation-paragraphe"/>
    <w:link w:val="Harmonisation-ajoutCar"/>
    <w:qFormat/>
    <w:rsid w:val="00E44CBC"/>
    <w:pPr>
      <w:numPr>
        <w:numId w:val="0"/>
      </w:numPr>
    </w:pPr>
  </w:style>
  <w:style w:type="character" w:customStyle="1" w:styleId="ModifCar">
    <w:name w:val="Modif Car"/>
    <w:basedOn w:val="paragraphenumrotCar"/>
    <w:link w:val="Modif"/>
    <w:rsid w:val="005977BA"/>
    <w:rPr>
      <w:rFonts w:ascii="Arial" w:eastAsia="Arial" w:hAnsi="Arial" w:cs="Arial"/>
      <w:b/>
      <w:bCs/>
      <w:i/>
      <w:iCs/>
      <w:color w:val="000000"/>
      <w:sz w:val="20"/>
      <w:szCs w:val="20"/>
      <w:u w:color="000000"/>
      <w:bdr w:val="nil"/>
      <w:lang w:eastAsia="fr-CA"/>
    </w:rPr>
  </w:style>
  <w:style w:type="character" w:customStyle="1" w:styleId="Harmonisation-ajoutCar">
    <w:name w:val="Harmonisation - ajout Car"/>
    <w:basedOn w:val="Harmonisation-paragrapheCar"/>
    <w:link w:val="Harmonisation-ajout"/>
    <w:rsid w:val="00E44CBC"/>
    <w:rPr>
      <w:rFonts w:ascii="Arial" w:eastAsia="Arial" w:hAnsi="Arial" w:cs="Arial"/>
      <w:color w:val="000000"/>
      <w:sz w:val="24"/>
      <w:szCs w:val="24"/>
      <w:u w:color="000000"/>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17" Type="http://schemas.openxmlformats.org/officeDocument/2006/relationships/hyperlink" Target="http://t.soquij.ca/Sw7n5" TargetMode="External"/><Relationship Id="rId21" Type="http://schemas.openxmlformats.org/officeDocument/2006/relationships/hyperlink" Target="https://lexius-gnjq.justice.gouv.qc.ca/fr/Accueil" TargetMode="External"/><Relationship Id="rId42"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47" Type="http://schemas.openxmlformats.org/officeDocument/2006/relationships/hyperlink" Target="https://coursuperieureduquebec.ca/division-de-montreal/districts-judiciaires/bedford-granby" TargetMode="External"/><Relationship Id="rId63" Type="http://schemas.openxmlformats.org/officeDocument/2006/relationships/hyperlink" Target="https://www.canlii.org/fr/ca/csc/doc/2008/2008csc9/2008csc9.html" TargetMode="External"/><Relationship Id="rId68" Type="http://schemas.openxmlformats.org/officeDocument/2006/relationships/hyperlink" Target="https://decisions.scc-csc.ca/scc-csc/scc-csc/fr/729/1/document.do" TargetMode="External"/><Relationship Id="rId84" Type="http://schemas.openxmlformats.org/officeDocument/2006/relationships/hyperlink" Target="https://decisions.scc-csc.ca/scc-csc/scc-csc/fr/item/2180/index.do" TargetMode="External"/><Relationship Id="rId89" Type="http://schemas.openxmlformats.org/officeDocument/2006/relationships/hyperlink" Target="http://t.soquij.ca/Ld46A" TargetMode="External"/><Relationship Id="rId112" Type="http://schemas.openxmlformats.org/officeDocument/2006/relationships/hyperlink" Target="http://t.soquij.ca/Jj5o7" TargetMode="External"/><Relationship Id="rId133" Type="http://schemas.openxmlformats.org/officeDocument/2006/relationships/hyperlink" Target="https://scc-csc.lexum.com/scc-csc/fr/a/s/index.do?cont=2009+CSC+43&amp;iframe=false" TargetMode="External"/><Relationship Id="rId138" Type="http://schemas.openxmlformats.org/officeDocument/2006/relationships/hyperlink" Target="https://scc-csc.lexum.com/scc-csc/fr/a/s/index.do?cont=2001+CSC+4&amp;ref=&amp;d1=&amp;d2=&amp;or=" TargetMode="External"/><Relationship Id="rId16"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107" Type="http://schemas.openxmlformats.org/officeDocument/2006/relationships/hyperlink" Target="http://www.canlii.org/fr/qc/qcca/doc/2002/2002canlii41290/2002canlii41290.pdf" TargetMode="External"/><Relationship Id="rId11" Type="http://schemas.openxmlformats.org/officeDocument/2006/relationships/footer" Target="footer1.xml"/><Relationship Id="rId32" Type="http://schemas.openxmlformats.org/officeDocument/2006/relationships/hyperlink" Target="https://www.legisquebec.gouv.qc.ca/fr/document/rc/C-25.01,%20r.%200.2.1%20/" TargetMode="External"/><Relationship Id="rId37" Type="http://schemas.openxmlformats.org/officeDocument/2006/relationships/hyperlink" Target="https://coursuperieureduquebec.ca/fileadmin/cour-superieure/Audiences_virtuelles_Montreal/Lignes_Directrices_technologies_durant_audiences.pdf" TargetMode="External"/><Relationship Id="rId53" Type="http://schemas.openxmlformats.org/officeDocument/2006/relationships/hyperlink" Target="https://coursuperieureduquebec.ca/division-de-montreal/districts-judiciaires/labelle-mont-laurier" TargetMode="External"/><Relationship Id="rId58" Type="http://schemas.openxmlformats.org/officeDocument/2006/relationships/hyperlink" Target="https://coursuperieureduquebec.ca/division-de-montreal/districts-judiciaires/richelieu-sorel-tracy" TargetMode="External"/><Relationship Id="rId74" Type="http://schemas.openxmlformats.org/officeDocument/2006/relationships/hyperlink" Target="https://decisions.scc-csc.ca/scc-csc/scc-csc/fr/731/1/document.do" TargetMode="External"/><Relationship Id="rId79" Type="http://schemas.openxmlformats.org/officeDocument/2006/relationships/hyperlink" Target="http://t.soquij.ca/Tg24A" TargetMode="External"/><Relationship Id="rId102" Type="http://schemas.openxmlformats.org/officeDocument/2006/relationships/hyperlink" Target="http://t.soquij.ca/Sg85W" TargetMode="External"/><Relationship Id="rId123" Type="http://schemas.openxmlformats.org/officeDocument/2006/relationships/hyperlink" Target="https://scc-csc.lexum.com/scc-csc/fr/a/s/index.do?cont=2011+CSC+9&amp;iframe=false" TargetMode="External"/><Relationship Id="rId128" Type="http://schemas.openxmlformats.org/officeDocument/2006/relationships/hyperlink" Target="https://scc-csc.lexum.com/scc-csc/fr/a/s/index.do?cont=%5B1996%5D+3+R.C.S.+347&amp;iframe=false" TargetMode="External"/><Relationship Id="rId14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149"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https://decisions.scc-csc.ca/scc-csc/scc-csc/fr/item/7793/index.do" TargetMode="External"/><Relationship Id="rId95" Type="http://schemas.openxmlformats.org/officeDocument/2006/relationships/hyperlink" Target="http://t.soquij.ca/Ze35W" TargetMode="External"/><Relationship Id="rId22" Type="http://schemas.openxmlformats.org/officeDocument/2006/relationships/hyperlink" Target="https://lexius-gnjq.justice.gouv.qc.ca/fr/Accueil" TargetMode="External"/><Relationship Id="rId27"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43" Type="http://schemas.openxmlformats.org/officeDocument/2006/relationships/hyperlink" Target="https://www.legisquebec.gouv.qc.ca/fr/document/rc/C-25.01,%20r.%200.2.1%20/" TargetMode="External"/><Relationship Id="rId48" Type="http://schemas.openxmlformats.org/officeDocument/2006/relationships/hyperlink" Target="https://coursuperieureduquebec.ca/division-de-montreal/districts-judiciaires/drummond-drummondville" TargetMode="External"/><Relationship Id="rId64" Type="http://schemas.openxmlformats.org/officeDocument/2006/relationships/hyperlink" Target="https://decisions.scc-csc.ca/scc-csc/scc-csc/fr/1717/1/document.do" TargetMode="External"/><Relationship Id="rId69" Type="http://schemas.openxmlformats.org/officeDocument/2006/relationships/hyperlink" Target="https://canlii.ca/t/gk0rl" TargetMode="External"/><Relationship Id="rId113" Type="http://schemas.openxmlformats.org/officeDocument/2006/relationships/hyperlink" Target="http://t.soquij.ca/Se4t6" TargetMode="External"/><Relationship Id="rId118" Type="http://schemas.openxmlformats.org/officeDocument/2006/relationships/hyperlink" Target="https://decisions.scc-csc.ca/scc-csc/scc-csc/fr/item/16247/index.do" TargetMode="External"/><Relationship Id="rId134" Type="http://schemas.openxmlformats.org/officeDocument/2006/relationships/hyperlink" Target="https://scc-csc.lexum.com/scc-csc/fr/a/s/index.do?cont=%5B1996%5D+3+R.C.S.+211&amp;iframe=false" TargetMode="External"/><Relationship Id="rId139"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80" Type="http://schemas.openxmlformats.org/officeDocument/2006/relationships/hyperlink" Target="https://decisions.scc-csc.ca/scc-csc/scc-csc/fr/item/1989/index.do" TargetMode="External"/><Relationship Id="rId85" Type="http://schemas.openxmlformats.org/officeDocument/2006/relationships/hyperlink" Target="https://decisions.scc-csc.ca/scc-csc/scc-csc/fr/item/2286/index.do" TargetMode="External"/><Relationship Id="rId150"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2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3" Type="http://schemas.openxmlformats.org/officeDocument/2006/relationships/hyperlink" Target="https://www.legisquebec.gouv.qc.ca/fr/document/rc/C-25.01,%20r.%200.2.1%20/" TargetMode="External"/><Relationship Id="rId38" Type="http://schemas.openxmlformats.org/officeDocument/2006/relationships/hyperlink" Target="https://www.legisquebec.gouv.qc.ca/fr/document/lc/c-25.01" TargetMode="External"/><Relationship Id="rId46" Type="http://schemas.openxmlformats.org/officeDocument/2006/relationships/hyperlink" Target="https://coursuperieureduquebec.ca/division-de-montreal/districts-judiciaires/bedford-cowansville" TargetMode="External"/><Relationship Id="rId59" Type="http://schemas.openxmlformats.org/officeDocument/2006/relationships/hyperlink" Target="https://coursuperieureduquebec.ca/division-de-montreal/districts-judiciaires/saint-francois-sherbrooke" TargetMode="External"/><Relationship Id="rId67" Type="http://schemas.openxmlformats.org/officeDocument/2006/relationships/hyperlink" Target="http://t.soquij.ca/Fe49G" TargetMode="External"/><Relationship Id="rId103" Type="http://schemas.openxmlformats.org/officeDocument/2006/relationships/hyperlink" Target="http://t.soquij.ca/Pe72F" TargetMode="External"/><Relationship Id="rId108" Type="http://schemas.openxmlformats.org/officeDocument/2006/relationships/hyperlink" Target="http://t.soquij.ca/x4J6C" TargetMode="External"/><Relationship Id="rId116" Type="http://schemas.openxmlformats.org/officeDocument/2006/relationships/hyperlink" Target="http://t.soquij.ca/Qw2n7" TargetMode="External"/><Relationship Id="rId124" Type="http://schemas.openxmlformats.org/officeDocument/2006/relationships/hyperlink" Target="https://scc-csc.lexum.com/scc-csc/fr/a/s/index.do?cont=2008+CSC+64&amp;iframe=false" TargetMode="External"/><Relationship Id="rId129" Type="http://schemas.openxmlformats.org/officeDocument/2006/relationships/hyperlink" Target="https://canlii.ca/t/j2j45" TargetMode="External"/><Relationship Id="rId137" Type="http://schemas.openxmlformats.org/officeDocument/2006/relationships/hyperlink" Target="https://decisions.scc-csc.ca/scc-csc/scc-csc/fr/item/1884/index.do" TargetMode="External"/><Relationship Id="rId20" Type="http://schemas.openxmlformats.org/officeDocument/2006/relationships/hyperlink" Target="https://www.legisquebec.gouv.qc.ca/fr/document/rc/C-25.01,%20r.%200.2.1%20/" TargetMode="External"/><Relationship Id="rId41" Type="http://schemas.openxmlformats.org/officeDocument/2006/relationships/hyperlink" Target="http://www.tribunaux.qc.ca/c-superieure-m/avis/Formulaires/Form_demande_CRA.doc" TargetMode="External"/><Relationship Id="rId54" Type="http://schemas.openxmlformats.org/officeDocument/2006/relationships/hyperlink" Target="https://coursuperieureduquebec.ca/division-de-montreal/districts-judiciaires/laval" TargetMode="External"/><Relationship Id="rId62" Type="http://schemas.openxmlformats.org/officeDocument/2006/relationships/hyperlink" Target="https://canlii.ca/t/j46kc" TargetMode="External"/><Relationship Id="rId70" Type="http://schemas.openxmlformats.org/officeDocument/2006/relationships/hyperlink" Target="https://decisions.scc-csc.ca/scc-csc/scc-csc/fr/2216/1/document.do" TargetMode="External"/><Relationship Id="rId75" Type="http://schemas.openxmlformats.org/officeDocument/2006/relationships/hyperlink" Target="https://canlii.ca/t/1fsv4" TargetMode="External"/><Relationship Id="rId83" Type="http://schemas.openxmlformats.org/officeDocument/2006/relationships/hyperlink" Target="https://decisions.scc-csc.ca/scc-csc/scc-csc/fr/item/2179/index.do" TargetMode="External"/><Relationship Id="rId88" Type="http://schemas.openxmlformats.org/officeDocument/2006/relationships/hyperlink" Target="http://t.soquij.ca/Hx62X" TargetMode="External"/><Relationship Id="rId91" Type="http://schemas.openxmlformats.org/officeDocument/2006/relationships/hyperlink" Target="https://decisions.scc-csc.ca/scc-csc/scc-csc/fr/item/7904/index.do" TargetMode="External"/><Relationship Id="rId96" Type="http://schemas.openxmlformats.org/officeDocument/2006/relationships/hyperlink" Target="https://decisions.scc-csc.ca/scc-csc/scc-csc/fr/item/12844/index.do" TargetMode="External"/><Relationship Id="rId111" Type="http://schemas.openxmlformats.org/officeDocument/2006/relationships/hyperlink" Target="http://t.soquij.ca/Yp5n8" TargetMode="External"/><Relationship Id="rId132" Type="http://schemas.openxmlformats.org/officeDocument/2006/relationships/hyperlink" Target="https://scc-csc.lexum.com/scc-csc/fr/a/s/index.do?cont=2014+CSC+57&amp;iframe=false" TargetMode="External"/><Relationship Id="rId14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familiale.docx" TargetMode="External"/><Relationship Id="rId14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quebec.gouv.qc.ca/fr/document/lc/c-25.01" TargetMode="External"/><Relationship Id="rId23" Type="http://schemas.openxmlformats.org/officeDocument/2006/relationships/hyperlink" Target="https://www.legisquebec.gouv.qc.ca/fr/document/rc/C-25.01,%20r.%200.2.1%20/" TargetMode="External"/><Relationship Id="rId28"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36" Type="http://schemas.openxmlformats.org/officeDocument/2006/relationships/hyperlink" Target="https://www.legisquebec.gouv.qc.ca/fr/document/lc/c-25.01" TargetMode="External"/><Relationship Id="rId49" Type="http://schemas.openxmlformats.org/officeDocument/2006/relationships/hyperlink" Target="https://coursuperieureduquebec.ca/division-de-montreal/districts-judiciaires/gatineau" TargetMode="External"/><Relationship Id="rId57" Type="http://schemas.openxmlformats.org/officeDocument/2006/relationships/hyperlink" Target="https://coursuperieureduquebec.ca/division-de-montreal/districts-judiciaires/pontiac-campbells-bay" TargetMode="External"/><Relationship Id="rId106" Type="http://schemas.openxmlformats.org/officeDocument/2006/relationships/hyperlink" Target="https://decisions.scc-csc.ca/scc-csc/scc-csc/fr/item/19108/index.do" TargetMode="External"/><Relationship Id="rId114" Type="http://schemas.openxmlformats.org/officeDocument/2006/relationships/hyperlink" Target="http://www.canlii.org/fr/qc/qcca/doc/2014/2014qcca1103/2014qcca1103.pdf" TargetMode="External"/><Relationship Id="rId119" Type="http://schemas.openxmlformats.org/officeDocument/2006/relationships/hyperlink" Target="https://decisions.scc-csc.ca/scc-csc/scc-csc/fr/item/16724/index.do" TargetMode="External"/><Relationship Id="rId127" Type="http://schemas.openxmlformats.org/officeDocument/2006/relationships/hyperlink" Target="https://scc-csc.lexum.com/scc-csc/fr/a/s/index.do?cont=2020+CSC+30&amp;iframe=false" TargetMode="External"/><Relationship Id="rId10" Type="http://schemas.openxmlformats.org/officeDocument/2006/relationships/header" Target="header2.xml"/><Relationship Id="rId3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4" Type="http://schemas.openxmlformats.org/officeDocument/2006/relationships/hyperlink" Target="https://coursuperieureduquebec.ca/division-de-montreal/districts-judiciaires/montreal" TargetMode="External"/><Relationship Id="rId52" Type="http://schemas.openxmlformats.org/officeDocument/2006/relationships/hyperlink" Target="https://coursuperieureduquebec.ca/division-de-montreal/districts-judiciaires/labelle-maniwaki" TargetMode="External"/><Relationship Id="rId60" Type="http://schemas.openxmlformats.org/officeDocument/2006/relationships/hyperlink" Target="https://coursuperieureduquebec.ca/division-de-montreal/districts-judiciaires/saint-hyacinthe" TargetMode="External"/><Relationship Id="rId65" Type="http://schemas.openxmlformats.org/officeDocument/2006/relationships/hyperlink" Target="https://decisions.scc-csc.ca/scc-csc/scc-csc/fr/1452/1/document.do" TargetMode="External"/><Relationship Id="rId73" Type="http://schemas.openxmlformats.org/officeDocument/2006/relationships/hyperlink" Target="https://decisions.scc-csc.ca/scc-csc/scc-csc/fr/194/1/document.do" TargetMode="External"/><Relationship Id="rId78" Type="http://schemas.openxmlformats.org/officeDocument/2006/relationships/hyperlink" Target="https://canlii.ca/t/1ncph" TargetMode="External"/><Relationship Id="rId81" Type="http://schemas.openxmlformats.org/officeDocument/2006/relationships/hyperlink" Target="http://t.soquij.ca/c2BYb" TargetMode="External"/><Relationship Id="rId86" Type="http://schemas.openxmlformats.org/officeDocument/2006/relationships/hyperlink" Target="http://t.soquij.ca/x3YZt" TargetMode="External"/><Relationship Id="rId94" Type="http://schemas.openxmlformats.org/officeDocument/2006/relationships/hyperlink" Target="http://t.soquij.ca/n5HRf" TargetMode="External"/><Relationship Id="rId99" Type="http://schemas.openxmlformats.org/officeDocument/2006/relationships/hyperlink" Target="https://decisions.scc-csc.ca/scc-csc/scc-csc/fr/item/17474/index.do" TargetMode="External"/><Relationship Id="rId101" Type="http://schemas.openxmlformats.org/officeDocument/2006/relationships/hyperlink" Target="https://decisions.scc-csc.ca/scc-csc/scc-csc/fr/item/18484/index.do" TargetMode="External"/><Relationship Id="rId122" Type="http://schemas.openxmlformats.org/officeDocument/2006/relationships/hyperlink" Target="https://scc-csc.lexum.com/scc-csc/scc-csc/fr/item/2/index.do" TargetMode="External"/><Relationship Id="rId130" Type="http://schemas.openxmlformats.org/officeDocument/2006/relationships/hyperlink" Target="https://scc-csc.lexum.com/scc-csc/fr/a/s/index.do?cont=2013+CSC+59&amp;iframe=false" TargetMode="External"/><Relationship Id="rId135" Type="http://schemas.openxmlformats.org/officeDocument/2006/relationships/hyperlink" Target="https://scc-csc.lexum.com/scc-csc/fr/a/s/index.do?cont=2009+CSC+16&amp;iframe=false" TargetMode="External"/><Relationship Id="rId143"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148" Type="http://schemas.openxmlformats.org/officeDocument/2006/relationships/footer" Target="footer4.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39" Type="http://schemas.openxmlformats.org/officeDocument/2006/relationships/hyperlink" Target="https://www.legisquebec.gouv.qc.ca/fr/document/rc/C-25.01,%20r.%200.2.1%20/" TargetMode="External"/><Relationship Id="rId109" Type="http://schemas.openxmlformats.org/officeDocument/2006/relationships/hyperlink" Target="https://decisions.scc-csc.ca/scc-csc/scc-csc/fr/item/2184/index.do" TargetMode="External"/><Relationship Id="rId34" Type="http://schemas.openxmlformats.org/officeDocument/2006/relationships/hyperlink" Target="https://www.legisquebec.gouv.qc.ca/fr/document/rc/C-25.01,%20r.%200.2.1%20/" TargetMode="External"/><Relationship Id="rId50" Type="http://schemas.openxmlformats.org/officeDocument/2006/relationships/hyperlink" Target="https://coursuperieureduquebec.ca/division-de-montreal/districts-judiciaires/iberville-saint-jean-sur-richelieu" TargetMode="External"/><Relationship Id="rId55" Type="http://schemas.openxmlformats.org/officeDocument/2006/relationships/hyperlink" Target="https://coursuperieureduquebec.ca/division-de-montreal/districts-judiciaires/longueuil" TargetMode="External"/><Relationship Id="rId76" Type="http://schemas.openxmlformats.org/officeDocument/2006/relationships/hyperlink" Target="http://t.soquij.ca/Ba94E" TargetMode="External"/><Relationship Id="rId97" Type="http://schemas.openxmlformats.org/officeDocument/2006/relationships/hyperlink" Target="https://decisions.scc-csc.ca/scc-csc/scc-csc/fr/item/15624/index.do" TargetMode="External"/><Relationship Id="rId104" Type="http://schemas.openxmlformats.org/officeDocument/2006/relationships/hyperlink" Target="https://decisions.scc-csc.ca/scc-csc/scc-csc/fr/item/18914/index.do" TargetMode="External"/><Relationship Id="rId120" Type="http://schemas.openxmlformats.org/officeDocument/2006/relationships/hyperlink" Target="https://scc-csc.lexum.com/scc-csc/fr/a/s/index.do?cont=2014+CSC+56&amp;iframe=false" TargetMode="External"/><Relationship Id="rId125" Type="http://schemas.openxmlformats.org/officeDocument/2006/relationships/hyperlink" Target="https://scc-csc.lexum.com/scc-csc/fr/a/s/index.do?cont=%5B1981%5D+1+R.C.S.+424&amp;iframe=false" TargetMode="External"/><Relationship Id="rId141"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146"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 Type="http://schemas.openxmlformats.org/officeDocument/2006/relationships/endnotes" Target="endnotes.xml"/><Relationship Id="rId71" Type="http://schemas.openxmlformats.org/officeDocument/2006/relationships/hyperlink" Target="https://decisions.scc-csc.ca/scc-csc/scc-csc/fr/2075/1/document.do" TargetMode="External"/><Relationship Id="rId92" Type="http://schemas.openxmlformats.org/officeDocument/2006/relationships/hyperlink" Target="http://t.soquij.ca/x8T5N" TargetMode="External"/><Relationship Id="rId2" Type="http://schemas.openxmlformats.org/officeDocument/2006/relationships/numbering" Target="numbering.xml"/><Relationship Id="rId29"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24" Type="http://schemas.openxmlformats.org/officeDocument/2006/relationships/hyperlink" Target="https://www.legisquebec.gouv.qc.ca/fr/document/rc/C-25.01,%20r.%200.2.4%20/" TargetMode="External"/><Relationship Id="rId40" Type="http://schemas.openxmlformats.org/officeDocument/2006/relationships/hyperlink" Target="https://www.legisquebec.gouv.qc.ca/fr/document/lc/c-25.01" TargetMode="External"/><Relationship Id="rId45" Type="http://schemas.openxmlformats.org/officeDocument/2006/relationships/hyperlink" Target="https://coursuperieureduquebec.ca/division-de-montreal/districts-judiciaires/beauharnois-salaberry-de-valleyfield" TargetMode="External"/><Relationship Id="rId66" Type="http://schemas.openxmlformats.org/officeDocument/2006/relationships/hyperlink" Target="https://decisions.scc-csc.ca/scc-csc/scc-csc/fr/1891/1/document.do" TargetMode="External"/><Relationship Id="rId87" Type="http://schemas.openxmlformats.org/officeDocument/2006/relationships/hyperlink" Target="https://decisions.scc-csc.ca/scc-csc/scc-csc/fr/item/2308/index.do" TargetMode="External"/><Relationship Id="rId110" Type="http://schemas.openxmlformats.org/officeDocument/2006/relationships/hyperlink" Target="https://decisions.scc-csc.ca/scc-csc/scc-csc/fr/item/6238/index.do" TargetMode="External"/><Relationship Id="rId115" Type="http://schemas.openxmlformats.org/officeDocument/2006/relationships/hyperlink" Target="http://t.soquij.ca/e5SPb" TargetMode="External"/><Relationship Id="rId131" Type="http://schemas.openxmlformats.org/officeDocument/2006/relationships/hyperlink" Target="https://scc-csc.lexum.com/scc-csc/fr/a/s/index.do?cont=2019+CSC+35&amp;iframe=false" TargetMode="External"/><Relationship Id="rId136" Type="http://schemas.openxmlformats.org/officeDocument/2006/relationships/hyperlink" Target="https://decisions.scc-csc.ca/scc-csc/scc-csc/fr/item/13409/index.do" TargetMode="External"/><Relationship Id="rId61" Type="http://schemas.openxmlformats.org/officeDocument/2006/relationships/hyperlink" Target="https://coursuperieureduquebec.ca/division-de-montreal/districts-judiciaires/terrebonne-saint-jerome" TargetMode="External"/><Relationship Id="rId82" Type="http://schemas.openxmlformats.org/officeDocument/2006/relationships/hyperlink" Target="http://t.soquij.ca/f8RYg" TargetMode="External"/><Relationship Id="rId19" Type="http://schemas.openxmlformats.org/officeDocument/2006/relationships/hyperlink" Target="https://www.legisquebec.gouv.qc.ca/fr/document/lc/c-25.01" TargetMode="External"/><Relationship Id="rId14" Type="http://schemas.openxmlformats.org/officeDocument/2006/relationships/footer" Target="footer3.xml"/><Relationship Id="rId30" Type="http://schemas.openxmlformats.org/officeDocument/2006/relationships/hyperlink" Target="https://www.legisquebec.gouv.qc.ca/fr/document/rc/C-25.01,%20r.%200.2.1%20/" TargetMode="External"/><Relationship Id="rId35" Type="http://schemas.openxmlformats.org/officeDocument/2006/relationships/hyperlink" Target="https://espacea.ca/fr/actualites/avis/reglement-projet-pilote-transformation-numerique-administration-justice/" TargetMode="External"/><Relationship Id="rId56" Type="http://schemas.openxmlformats.org/officeDocument/2006/relationships/hyperlink" Target="https://coursuperieureduquebec.ca/division-de-montreal/districts-judiciaires/megantic-lac-megantic" TargetMode="External"/><Relationship Id="rId77" Type="http://schemas.openxmlformats.org/officeDocument/2006/relationships/hyperlink" Target="http://scc-csc.lexum.com/scc-csc/scc-csc/fr/item/1297/index.do" TargetMode="External"/><Relationship Id="rId100" Type="http://schemas.openxmlformats.org/officeDocument/2006/relationships/hyperlink" Target="https://decisions.scc-csc.ca/scc-csc/scc-csc/fr/item/18365/index.do" TargetMode="External"/><Relationship Id="rId105" Type="http://schemas.openxmlformats.org/officeDocument/2006/relationships/hyperlink" Target="https://decisions.scc-csc.ca/scc-csc/scc-csc/fr/item/18963/index.do" TargetMode="External"/><Relationship Id="rId126" Type="http://schemas.openxmlformats.org/officeDocument/2006/relationships/hyperlink" Target="https://scc-csc.lexum.com/scc-csc/fr/a/s/index.do?cont=2007+CSC+34&amp;iframe=false" TargetMode="External"/><Relationship Id="rId14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s://coursuperieureduquebec.ca/division-de-montreal/districts-judiciaires/joliette" TargetMode="External"/><Relationship Id="rId72" Type="http://schemas.openxmlformats.org/officeDocument/2006/relationships/hyperlink" Target="https://decisions.scc-csc.ca/scc-csc/scc-csc/fr/1111/1/document.do" TargetMode="External"/><Relationship Id="rId93" Type="http://schemas.openxmlformats.org/officeDocument/2006/relationships/hyperlink" Target="https://decisions.scc-csc.ca/scc-csc/scc-csc/fr/item/12749/index.do" TargetMode="External"/><Relationship Id="rId98" Type="http://schemas.openxmlformats.org/officeDocument/2006/relationships/hyperlink" Target="http://t.soquij.ca/Ej83F" TargetMode="External"/><Relationship Id="rId121" Type="http://schemas.openxmlformats.org/officeDocument/2006/relationships/hyperlink" Target="https://scc-csc.lexum.com/scc-csc/fr/a/s/index.do?cont=2014+CSC+55&amp;iframe=false" TargetMode="External"/><Relationship Id="rId14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FE6C-88BC-4B3E-B2C8-4012C642037E}">
  <ds:schemaRefs>
    <ds:schemaRef ds:uri="http://schemas.openxmlformats.org/officeDocument/2006/bibliography"/>
  </ds:schemaRefs>
</ds:datastoreItem>
</file>

<file path=docMetadata/LabelInfo.xml><?xml version="1.0" encoding="utf-8"?>
<clbl:labelList xmlns:clbl="http://schemas.microsoft.com/office/2020/mipLabelMetadata">
  <clbl:label id="{3f6dec78-7ded-4395-975c-6edbb7d10b16}" enabled="0" method="" siteId="{3f6dec78-7ded-4395-975c-6edbb7d10b1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28</Pages>
  <Words>9590</Words>
  <Characters>52747</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Louise-Josée Robichaud</dc:creator>
  <cp:keywords/>
  <dc:description/>
  <cp:lastModifiedBy>Julie-El-Kainah Larèche</cp:lastModifiedBy>
  <cp:revision>3</cp:revision>
  <cp:lastPrinted>2022-12-01T17:57:00Z</cp:lastPrinted>
  <dcterms:created xsi:type="dcterms:W3CDTF">2023-12-28T20:28:00Z</dcterms:created>
  <dcterms:modified xsi:type="dcterms:W3CDTF">2024-01-08T13:49:00Z</dcterms:modified>
</cp:coreProperties>
</file>